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13.030.10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SDEPI</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Z 04</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framePr/>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SDEPI</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rPr>
          <w:rFonts w:hint="eastAsia"/>
        </w:rPr>
        <w:t>2024</w:t>
      </w:r>
      <w:r>
        <w:fldChar w:fldCharType="end"/>
      </w:r>
      <w:bookmarkEnd w:id="6"/>
    </w:p>
    <w:p>
      <w:pPr>
        <w:pStyle w:val="196"/>
        <w:framePr/>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Pr>
          <w:rFonts w:hint="eastAsia"/>
        </w:rPr>
        <w:t>污染场地修复的碳排放核算 重金属污染场地</w:t>
      </w:r>
      <w:r>
        <w:fldChar w:fldCharType="end"/>
      </w:r>
      <w:bookmarkEnd w:id="8"/>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fldChar w:fldCharType="separate"/>
      </w:r>
      <w:r>
        <w:rPr>
          <w:rFonts w:eastAsia="黑体"/>
          <w:szCs w:val="28"/>
        </w:rPr>
        <w:t>Carbon emission accounting for remediation of contaminated sites —— Heavy metal contaminated sites</w:t>
      </w:r>
      <w:r>
        <w:rPr>
          <w:rFonts w:eastAsia="黑体"/>
          <w:szCs w:val="28"/>
        </w:rPr>
        <w:fldChar w:fldCharType="end"/>
      </w:r>
      <w:bookmarkEnd w:id="9"/>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0"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0"/>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Pr>
          <w:b/>
          <w:sz w:val="21"/>
          <w:szCs w:val="28"/>
        </w:rPr>
        <w:instrText xml:space="preserve"> FORMDROPDOWN </w:instrText>
      </w:r>
      <w:r>
        <w:rPr>
          <w:b/>
          <w:sz w:val="21"/>
          <w:szCs w:val="28"/>
        </w:rPr>
        <w:fldChar w:fldCharType="separate"/>
      </w:r>
      <w:r>
        <w:rPr>
          <w:b/>
          <w:sz w:val="21"/>
          <w:szCs w:val="28"/>
        </w:rPr>
        <w:fldChar w:fldCharType="end"/>
      </w:r>
      <w:bookmarkEnd w:id="11"/>
    </w:p>
    <w:p>
      <w:pPr>
        <w:pStyle w:val="193"/>
        <w:framePr w:wrap="around" w:y="14176"/>
      </w:pPr>
      <w:r>
        <w:rPr>
          <w:rFonts w:ascii="黑体"/>
        </w:rPr>
        <w:fldChar w:fldCharType="begin">
          <w:ffData>
            <w:name w:val="PLSH_DATE_Y"/>
            <w:enabled/>
            <w:calcOnExit w:val="0"/>
            <w:textInput>
              <w:default w:val="XXXX"/>
              <w:maxLength w:val="4"/>
            </w:textInput>
          </w:ffData>
        </w:fldChar>
      </w:r>
      <w:bookmarkStart w:id="12"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2"/>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3"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4"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5"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5"/>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6"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7"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8"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山东省环境保护产业协会</w:t>
      </w:r>
      <w:r>
        <w:rPr>
          <w:rFonts w:hAnsi="黑体"/>
          <w:w w:val="100"/>
          <w:sz w:val="28"/>
        </w:rPr>
        <w:fldChar w:fldCharType="end"/>
      </w:r>
      <w:bookmarkEnd w:id="18"/>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360"/>
        <w:rPr>
          <w:rFonts w:hint="eastAsia"/>
        </w:rPr>
      </w:pPr>
      <w:bookmarkStart w:id="19" w:name="BookMark1"/>
      <w:bookmarkStart w:id="20" w:name="_Toc175236180"/>
      <w:bookmarkStart w:id="21" w:name="_Toc175230596"/>
      <w:bookmarkStart w:id="22" w:name="_Toc175232919"/>
      <w:bookmarkStart w:id="23" w:name="_Toc175236200"/>
      <w:bookmarkStart w:id="24" w:name="_Toc175234610"/>
      <w:bookmarkStart w:id="25" w:name="_Toc175236072"/>
      <w:bookmarkStart w:id="26" w:name="_Toc175297716"/>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fldChar w:fldCharType="begin"/>
      </w:r>
      <w:r>
        <w:instrText xml:space="preserve"> TOC \o "1-1" \h \t "标准文件_一级条标题,2,标准文件_附录一级条标题,2," </w:instrText>
      </w:r>
      <w:r>
        <w:fldChar w:fldCharType="separate"/>
      </w:r>
      <w:r>
        <w:fldChar w:fldCharType="begin"/>
      </w:r>
      <w:r>
        <w:instrText xml:space="preserve"> HYPERLINK \l "_Toc175300919" </w:instrText>
      </w:r>
      <w:r>
        <w:fldChar w:fldCharType="separate"/>
      </w:r>
      <w:r>
        <w:rPr>
          <w:rStyle w:val="32"/>
          <w:rFonts w:hint="eastAsia"/>
        </w:rPr>
        <w:t>前言</w:t>
      </w:r>
      <w:r>
        <w:tab/>
      </w:r>
      <w:r>
        <w:fldChar w:fldCharType="begin"/>
      </w:r>
      <w:r>
        <w:instrText xml:space="preserve"> PAGEREF _Toc175300919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"_Toc175300920" </w:instrText>
      </w:r>
      <w:r>
        <w:fldChar w:fldCharType="separate"/>
      </w:r>
      <w:r>
        <w:rPr>
          <w:rStyle w:val="32"/>
        </w:rPr>
        <w:t xml:space="preserve">1 </w:t>
      </w:r>
      <w:r>
        <w:rPr>
          <w:rStyle w:val="32"/>
          <w:rFonts w:hint="eastAsia"/>
        </w:rPr>
        <w:t xml:space="preserve"> 范围</w:t>
      </w:r>
      <w:r>
        <w:tab/>
      </w:r>
      <w:r>
        <w:fldChar w:fldCharType="begin"/>
      </w:r>
      <w:r>
        <w:instrText xml:space="preserve"> PAGEREF _Toc175300920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"_Toc175300921" </w:instrText>
      </w:r>
      <w:r>
        <w:fldChar w:fldCharType="separate"/>
      </w:r>
      <w:r>
        <w:rPr>
          <w:rStyle w:val="32"/>
        </w:rPr>
        <w:t xml:space="preserve">2 </w:t>
      </w:r>
      <w:r>
        <w:rPr>
          <w:rStyle w:val="32"/>
          <w:rFonts w:hint="eastAsia"/>
        </w:rPr>
        <w:t xml:space="preserve"> 规范性引用文件</w:t>
      </w:r>
      <w:r>
        <w:tab/>
      </w:r>
      <w:r>
        <w:fldChar w:fldCharType="begin"/>
      </w:r>
      <w:r>
        <w:instrText xml:space="preserve"> PAGEREF _Toc175300921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"_Toc175300922" </w:instrText>
      </w:r>
      <w:r>
        <w:fldChar w:fldCharType="separate"/>
      </w:r>
      <w:r>
        <w:rPr>
          <w:rStyle w:val="32"/>
        </w:rPr>
        <w:t xml:space="preserve">3 </w:t>
      </w:r>
      <w:r>
        <w:rPr>
          <w:rStyle w:val="32"/>
          <w:rFonts w:hint="eastAsia"/>
        </w:rPr>
        <w:t xml:space="preserve"> 术语和定义</w:t>
      </w:r>
      <w:r>
        <w:tab/>
      </w:r>
      <w:r>
        <w:fldChar w:fldCharType="begin"/>
      </w:r>
      <w:r>
        <w:instrText xml:space="preserve"> PAGEREF _Toc175300922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"_Toc175300923" </w:instrText>
      </w:r>
      <w:r>
        <w:fldChar w:fldCharType="separate"/>
      </w:r>
      <w:r>
        <w:rPr>
          <w:rStyle w:val="32"/>
        </w:rPr>
        <w:t xml:space="preserve">4 </w:t>
      </w:r>
      <w:r>
        <w:rPr>
          <w:rStyle w:val="32"/>
          <w:rFonts w:hint="eastAsia"/>
        </w:rPr>
        <w:t xml:space="preserve"> 碳排放核算的工作流程</w:t>
      </w:r>
      <w:r>
        <w:tab/>
      </w:r>
      <w:r>
        <w:fldChar w:fldCharType="begin"/>
      </w:r>
      <w:r>
        <w:instrText xml:space="preserve"> PAGEREF _Toc175300923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"_Toc175300924" </w:instrText>
      </w:r>
      <w:r>
        <w:fldChar w:fldCharType="separate"/>
      </w:r>
      <w:r>
        <w:rPr>
          <w:rStyle w:val="32"/>
        </w:rPr>
        <w:t xml:space="preserve">5 </w:t>
      </w:r>
      <w:r>
        <w:rPr>
          <w:rStyle w:val="32"/>
          <w:rFonts w:hint="eastAsia"/>
        </w:rPr>
        <w:t xml:space="preserve"> 碳排放核算边界</w:t>
      </w:r>
      <w:r>
        <w:tab/>
      </w:r>
      <w:r>
        <w:fldChar w:fldCharType="begin"/>
      </w:r>
      <w:r>
        <w:instrText xml:space="preserve"> PAGEREF _Toc175300924 \h </w:instrText>
      </w:r>
      <w:r>
        <w:fldChar w:fldCharType="separate"/>
      </w:r>
      <w:r>
        <w:t>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"_Toc175300925" </w:instrText>
      </w:r>
      <w:r>
        <w:fldChar w:fldCharType="separate"/>
      </w:r>
      <w:r>
        <w:rPr>
          <w:rStyle w:val="32"/>
        </w:rPr>
        <w:t xml:space="preserve">6 </w:t>
      </w:r>
      <w:r>
        <w:rPr>
          <w:rStyle w:val="32"/>
          <w:rFonts w:hint="eastAsia"/>
        </w:rPr>
        <w:t xml:space="preserve"> 碳排放核算步骤与方法</w:t>
      </w:r>
      <w:r>
        <w:tab/>
      </w:r>
      <w:r>
        <w:fldChar w:fldCharType="begin"/>
      </w:r>
      <w:r>
        <w:instrText xml:space="preserve"> PAGEREF _Toc175300925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"_Toc175300926" </w:instrText>
      </w:r>
      <w:r>
        <w:fldChar w:fldCharType="separate"/>
      </w:r>
      <w:r>
        <w:rPr>
          <w:rStyle w:val="32"/>
          <w14:scene3d w14:prst="orthographicFront">
            <w14:lightRig w14:rig="threePt" w14:dir="t">
              <w14:rot w14:lat="0" w14:lon="0" w14:rev="0"/>
            </w14:lightRig>
          </w14:scene3d>
        </w:rPr>
        <w:t xml:space="preserve">6.1 </w:t>
      </w:r>
      <w:r>
        <w:rPr>
          <w:rStyle w:val="32"/>
          <w:rFonts w:hint="eastAsia"/>
        </w:rPr>
        <w:t xml:space="preserve"> 识别碳排放源</w:t>
      </w:r>
      <w:r>
        <w:tab/>
      </w:r>
      <w:r>
        <w:fldChar w:fldCharType="begin"/>
      </w:r>
      <w:r>
        <w:instrText xml:space="preserve"> PAGEREF _Toc175300926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"_Toc175300927" </w:instrText>
      </w:r>
      <w:r>
        <w:fldChar w:fldCharType="separate"/>
      </w:r>
      <w:r>
        <w:rPr>
          <w:rStyle w:val="32"/>
          <w14:scene3d w14:prst="orthographicFront">
            <w14:lightRig w14:rig="threePt" w14:dir="t">
              <w14:rot w14:lat="0" w14:lon="0" w14:rev="0"/>
            </w14:lightRig>
          </w14:scene3d>
        </w:rPr>
        <w:t xml:space="preserve">6.2 </w:t>
      </w:r>
      <w:r>
        <w:rPr>
          <w:rStyle w:val="32"/>
          <w:rFonts w:hint="eastAsia"/>
        </w:rPr>
        <w:t xml:space="preserve"> 碳排放计算方法</w:t>
      </w:r>
      <w:r>
        <w:tab/>
      </w:r>
      <w:r>
        <w:fldChar w:fldCharType="begin"/>
      </w:r>
      <w:r>
        <w:instrText xml:space="preserve"> PAGEREF _Toc175300927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"_Toc175300928" </w:instrText>
      </w:r>
      <w:r>
        <w:fldChar w:fldCharType="separate"/>
      </w:r>
      <w:r>
        <w:rPr>
          <w:rStyle w:val="32"/>
          <w14:scene3d w14:prst="orthographicFront">
            <w14:lightRig w14:rig="threePt" w14:dir="t">
              <w14:rot w14:lat="0" w14:lon="0" w14:rev="0"/>
            </w14:lightRig>
          </w14:scene3d>
        </w:rPr>
        <w:t xml:space="preserve">6.3 </w:t>
      </w:r>
      <w:r>
        <w:rPr>
          <w:rStyle w:val="32"/>
          <w:rFonts w:hint="eastAsia"/>
        </w:rPr>
        <w:t xml:space="preserve"> 获取活动数据</w:t>
      </w:r>
      <w:r>
        <w:tab/>
      </w:r>
      <w:r>
        <w:fldChar w:fldCharType="begin"/>
      </w:r>
      <w:r>
        <w:instrText xml:space="preserve"> PAGEREF _Toc175300928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"_Toc175300929" </w:instrText>
      </w:r>
      <w:r>
        <w:fldChar w:fldCharType="separate"/>
      </w:r>
      <w:r>
        <w:rPr>
          <w:rStyle w:val="32"/>
          <w14:scene3d w14:prst="orthographicFront">
            <w14:lightRig w14:rig="threePt" w14:dir="t">
              <w14:rot w14:lat="0" w14:lon="0" w14:rev="0"/>
            </w14:lightRig>
          </w14:scene3d>
        </w:rPr>
        <w:t xml:space="preserve">6.4 </w:t>
      </w:r>
      <w:r>
        <w:rPr>
          <w:rStyle w:val="32"/>
          <w:rFonts w:hint="eastAsia"/>
        </w:rPr>
        <w:t xml:space="preserve"> 获取排放因子</w:t>
      </w:r>
      <w:r>
        <w:tab/>
      </w:r>
      <w:r>
        <w:fldChar w:fldCharType="begin"/>
      </w:r>
      <w:r>
        <w:instrText xml:space="preserve"> PAGEREF _Toc175300929 \h </w:instrText>
      </w:r>
      <w:r>
        <w:fldChar w:fldCharType="separate"/>
      </w:r>
      <w:r>
        <w:t>2</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"_Toc175300930" </w:instrText>
      </w:r>
      <w:r>
        <w:fldChar w:fldCharType="separate"/>
      </w:r>
      <w:r>
        <w:rPr>
          <w:rStyle w:val="32"/>
          <w14:scene3d w14:prst="orthographicFront">
            <w14:lightRig w14:rig="threePt" w14:dir="t">
              <w14:rot w14:lat="0" w14:lon="0" w14:rev="0"/>
            </w14:lightRig>
          </w14:scene3d>
        </w:rPr>
        <w:t xml:space="preserve">6.5 </w:t>
      </w:r>
      <w:r>
        <w:rPr>
          <w:rStyle w:val="32"/>
          <w:rFonts w:hint="eastAsia"/>
        </w:rPr>
        <w:t xml:space="preserve"> 计算碳排放量</w:t>
      </w:r>
      <w:r>
        <w:tab/>
      </w:r>
      <w:r>
        <w:fldChar w:fldCharType="begin"/>
      </w:r>
      <w:r>
        <w:instrText xml:space="preserve"> PAGEREF _Toc175300930 \h </w:instrText>
      </w:r>
      <w:r>
        <w:fldChar w:fldCharType="separate"/>
      </w:r>
      <w:r>
        <w:t>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"_Toc175300931" </w:instrText>
      </w:r>
      <w:r>
        <w:fldChar w:fldCharType="separate"/>
      </w:r>
      <w:r>
        <w:rPr>
          <w:rStyle w:val="32"/>
        </w:rPr>
        <w:t xml:space="preserve">7 </w:t>
      </w:r>
      <w:r>
        <w:rPr>
          <w:rStyle w:val="32"/>
          <w:rFonts w:hint="eastAsia"/>
        </w:rPr>
        <w:t xml:space="preserve"> 核算工作质量保证</w:t>
      </w:r>
      <w:r>
        <w:tab/>
      </w:r>
      <w:r>
        <w:fldChar w:fldCharType="begin"/>
      </w:r>
      <w:r>
        <w:instrText xml:space="preserve"> PAGEREF _Toc175300931 \h </w:instrText>
      </w:r>
      <w:r>
        <w:fldChar w:fldCharType="separate"/>
      </w:r>
      <w:r>
        <w:t>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"_Toc175300932" </w:instrText>
      </w:r>
      <w:r>
        <w:fldChar w:fldCharType="separate"/>
      </w:r>
      <w:r>
        <w:rPr>
          <w:rStyle w:val="32"/>
        </w:rPr>
        <w:t xml:space="preserve">8 </w:t>
      </w:r>
      <w:r>
        <w:rPr>
          <w:rStyle w:val="32"/>
          <w:rFonts w:hint="eastAsia"/>
        </w:rPr>
        <w:t xml:space="preserve"> 碳排放报告撰写</w:t>
      </w:r>
      <w:r>
        <w:tab/>
      </w:r>
      <w:r>
        <w:fldChar w:fldCharType="begin"/>
      </w:r>
      <w:r>
        <w:instrText xml:space="preserve"> PAGEREF _Toc175300932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"_Toc175300933" </w:instrText>
      </w:r>
      <w:r>
        <w:fldChar w:fldCharType="separate"/>
      </w:r>
      <w:r>
        <w:rPr>
          <w:rStyle w:val="32"/>
          <w:rFonts w:hint="eastAsia"/>
        </w:rPr>
        <w:t>附录A（资料性）</w:t>
      </w:r>
      <w:r>
        <w:rPr>
          <w:rStyle w:val="32"/>
        </w:rPr>
        <w:t xml:space="preserve">  </w:t>
      </w:r>
      <w:r>
        <w:rPr>
          <w:rStyle w:val="32"/>
          <w:rFonts w:hint="eastAsia"/>
        </w:rPr>
        <w:t>重金属污染场地修复技术和主要修复过程</w:t>
      </w:r>
      <w:r>
        <w:tab/>
      </w:r>
      <w:r>
        <w:fldChar w:fldCharType="begin"/>
      </w:r>
      <w:r>
        <w:instrText xml:space="preserve"> PAGEREF _Toc175300933 \h </w:instrText>
      </w:r>
      <w:r>
        <w:fldChar w:fldCharType="separate"/>
      </w:r>
      <w:r>
        <w:t>5</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"_Toc175300934" </w:instrText>
      </w:r>
      <w:r>
        <w:fldChar w:fldCharType="separate"/>
      </w:r>
      <w:r>
        <w:rPr>
          <w:rStyle w:val="32"/>
          <w:rFonts w:hint="eastAsia"/>
        </w:rPr>
        <w:t>附录B（资料性）</w:t>
      </w:r>
      <w:r>
        <w:rPr>
          <w:rStyle w:val="32"/>
        </w:rPr>
        <w:t xml:space="preserve">  </w:t>
      </w:r>
      <w:r>
        <w:rPr>
          <w:rStyle w:val="32"/>
          <w:rFonts w:hint="eastAsia"/>
        </w:rPr>
        <w:t>常用燃料</w:t>
      </w:r>
      <w:r>
        <w:rPr>
          <w:rStyle w:val="32"/>
        </w:rPr>
        <w:t>-</w:t>
      </w:r>
      <w:r>
        <w:rPr>
          <w:rStyle w:val="32"/>
          <w:rFonts w:hint="eastAsia"/>
        </w:rPr>
        <w:t>能源相关参数推荐值</w:t>
      </w:r>
      <w:r>
        <w:tab/>
      </w:r>
      <w:r>
        <w:fldChar w:fldCharType="begin"/>
      </w:r>
      <w:r>
        <w:instrText xml:space="preserve"> PAGEREF _Toc175300934 \h </w:instrText>
      </w:r>
      <w:r>
        <w:fldChar w:fldCharType="separate"/>
      </w:r>
      <w:r>
        <w:t>6</w:t>
      </w:r>
      <w:r>
        <w:fldChar w:fldCharType="end"/>
      </w:r>
      <w:r>
        <w:fldChar w:fldCharType="end"/>
      </w:r>
    </w:p>
    <w:p>
      <w:pPr>
        <w:pStyle w:val="91"/>
        <w:spacing w:after="360"/>
        <w:sectPr>
          <w:headerReference r:id="rId11" w:type="default"/>
          <w:footerReference r:id="rId13" w:type="default"/>
          <w:headerReference r:id="rId12" w:type="even"/>
          <w:pgSz w:w="11906" w:h="16838"/>
          <w:pgMar w:top="567" w:right="1134" w:bottom="1134" w:left="1134" w:header="1418" w:footer="1134" w:gutter="284"/>
          <w:pgNumType w:fmt="upperRoman" w:start="1"/>
          <w:cols w:space="425" w:num="1"/>
          <w:formProt w:val="0"/>
          <w:docGrid w:linePitch="312" w:charSpace="0"/>
        </w:sectPr>
      </w:pPr>
      <w:r>
        <w:fldChar w:fldCharType="end"/>
      </w:r>
    </w:p>
    <w:bookmarkEnd w:id="19"/>
    <w:p>
      <w:pPr>
        <w:pStyle w:val="89"/>
        <w:spacing w:after="360"/>
      </w:pPr>
      <w:bookmarkStart w:id="27" w:name="_Toc175300919"/>
      <w:bookmarkStart w:id="28" w:name="BookMark2"/>
      <w:r>
        <w:rPr>
          <w:spacing w:val="320"/>
        </w:rPr>
        <w:t>前</w:t>
      </w:r>
      <w:r>
        <w:t>言</w:t>
      </w:r>
      <w:bookmarkEnd w:id="20"/>
      <w:bookmarkEnd w:id="21"/>
      <w:bookmarkEnd w:id="22"/>
      <w:bookmarkEnd w:id="23"/>
      <w:bookmarkEnd w:id="24"/>
      <w:bookmarkEnd w:id="25"/>
      <w:bookmarkEnd w:id="26"/>
      <w:bookmarkEnd w:id="27"/>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w:t>
      </w:r>
      <w:r>
        <w:rPr>
          <w:rFonts w:hint="eastAsia"/>
          <w:lang w:val="en-US" w:eastAsia="zh-CN"/>
        </w:rPr>
        <w:t>山东省环境保护产业协会</w:t>
      </w:r>
      <w:r>
        <w:rPr>
          <w:rFonts w:hint="eastAsia"/>
        </w:rPr>
        <w:t>提出</w:t>
      </w:r>
      <w:r>
        <w:rPr>
          <w:rFonts w:hint="eastAsia"/>
          <w:lang w:val="en-US" w:eastAsia="zh-CN"/>
        </w:rPr>
        <w:t>并归口</w:t>
      </w:r>
      <w:r>
        <w:rPr>
          <w:rFonts w:hint="eastAsia"/>
        </w:rPr>
        <w:t>。</w:t>
      </w:r>
    </w:p>
    <w:p>
      <w:pPr>
        <w:pStyle w:val="56"/>
        <w:ind w:firstLine="420"/>
      </w:pPr>
      <w:r>
        <w:rPr>
          <w:rFonts w:hint="eastAsia"/>
        </w:rPr>
        <w:t>本文件起草单位：</w:t>
      </w:r>
      <w:bookmarkStart w:id="154" w:name="_GoBack"/>
      <w:bookmarkEnd w:id="154"/>
    </w:p>
    <w:p>
      <w:pPr>
        <w:pStyle w:val="56"/>
        <w:ind w:firstLine="420"/>
      </w:pPr>
      <w:r>
        <w:rPr>
          <w:rFonts w:hint="eastAsia"/>
        </w:rPr>
        <w:t>本文件主要起草人：</w:t>
      </w:r>
    </w:p>
    <w:p>
      <w:pPr>
        <w:pStyle w:val="56"/>
        <w:ind w:firstLine="420"/>
      </w:pPr>
    </w:p>
    <w:p>
      <w:pPr>
        <w:pStyle w:val="56"/>
        <w:ind w:firstLine="420"/>
        <w:sectPr>
          <w:pgSz w:w="11906" w:h="16838"/>
          <w:pgMar w:top="567" w:right="1134" w:bottom="1134" w:left="1134" w:header="1418" w:footer="1134" w:gutter="284"/>
          <w:pgNumType w:fmt="upperRoman"/>
          <w:cols w:space="425" w:num="1"/>
          <w:formProt w:val="0"/>
          <w:docGrid w:linePitch="312" w:charSpace="0"/>
        </w:sectPr>
      </w:pPr>
    </w:p>
    <w:bookmarkEnd w:id="28"/>
    <w:p>
      <w:pPr>
        <w:spacing w:line="20" w:lineRule="exact"/>
        <w:jc w:val="center"/>
        <w:rPr>
          <w:rFonts w:ascii="黑体" w:hAnsi="黑体" w:eastAsia="黑体"/>
          <w:sz w:val="32"/>
          <w:szCs w:val="32"/>
        </w:rPr>
      </w:pPr>
      <w:bookmarkStart w:id="29" w:name="BookMark4"/>
    </w:p>
    <w:p>
      <w:pPr>
        <w:spacing w:line="20" w:lineRule="exact"/>
        <w:jc w:val="center"/>
        <w:rPr>
          <w:rFonts w:ascii="黑体" w:hAnsi="黑体" w:eastAsia="黑体"/>
          <w:sz w:val="32"/>
          <w:szCs w:val="32"/>
        </w:rPr>
      </w:pPr>
    </w:p>
    <w:sdt>
      <w:sdtPr>
        <w:tag w:val="NEW_STAND_NAME"/>
        <w:id w:val="595910757"/>
        <w:lock w:val="sdtLocked"/>
        <w:placeholder>
          <w:docPart w:val="4BB7EB0F4BC34A98BE353E14F0F13A77"/>
        </w:placeholder>
      </w:sdtPr>
      <w:sdtContent>
        <w:p>
          <w:pPr>
            <w:pStyle w:val="177"/>
            <w:spacing w:before="240" w:beforeLines="100" w:after="528" w:afterLines="220"/>
          </w:pPr>
          <w:bookmarkStart w:id="30" w:name="NEW_STAND_NAME"/>
          <w:r>
            <w:rPr>
              <w:rFonts w:hint="eastAsia"/>
            </w:rPr>
            <w:t>污染场地低碳修复的碳排放核算</w:t>
          </w:r>
          <w:r>
            <w:t xml:space="preserve"> 重金属污染场地</w:t>
          </w:r>
        </w:p>
      </w:sdtContent>
    </w:sdt>
    <w:bookmarkEnd w:id="30"/>
    <w:p>
      <w:pPr>
        <w:pStyle w:val="104"/>
        <w:spacing w:before="240" w:after="240"/>
      </w:pPr>
      <w:bookmarkStart w:id="31" w:name="_Toc24884211"/>
      <w:bookmarkStart w:id="32" w:name="_Toc17233325"/>
      <w:bookmarkStart w:id="33" w:name="_Toc26986771"/>
      <w:bookmarkStart w:id="34" w:name="_Toc24884218"/>
      <w:bookmarkStart w:id="35" w:name="_Toc26986530"/>
      <w:bookmarkStart w:id="36" w:name="_Toc175230597"/>
      <w:bookmarkStart w:id="37" w:name="_Toc175232920"/>
      <w:bookmarkStart w:id="38" w:name="_Toc175236181"/>
      <w:bookmarkStart w:id="39" w:name="_Toc26718930"/>
      <w:bookmarkStart w:id="40" w:name="_Toc175297717"/>
      <w:bookmarkStart w:id="41" w:name="_Toc175234611"/>
      <w:bookmarkStart w:id="42" w:name="_Toc26648465"/>
      <w:bookmarkStart w:id="43" w:name="_Toc175236201"/>
      <w:bookmarkStart w:id="44" w:name="_Toc17233333"/>
      <w:bookmarkStart w:id="45" w:name="_Toc175236073"/>
      <w:bookmarkStart w:id="46" w:name="_Toc175300920"/>
      <w:r>
        <w:rPr>
          <w:rFonts w:hint="eastAsia"/>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pPr>
        <w:pStyle w:val="56"/>
        <w:ind w:firstLine="420"/>
      </w:pPr>
      <w:bookmarkStart w:id="47" w:name="_Toc17233326"/>
      <w:bookmarkStart w:id="48" w:name="_Toc17233334"/>
      <w:bookmarkStart w:id="49" w:name="_Toc24884212"/>
      <w:bookmarkStart w:id="50" w:name="_Toc24884219"/>
      <w:bookmarkStart w:id="51" w:name="_Toc26648466"/>
      <w:r>
        <w:rPr>
          <w:rFonts w:hint="eastAsia"/>
        </w:rPr>
        <w:t>本文件规定了重金属污染场地低碳修复碳排放核算的术语和定义、工作流程、核算边界确定、核算步骤与方法、质量保证、排放报告撰写等内容。</w:t>
      </w:r>
    </w:p>
    <w:p>
      <w:pPr>
        <w:pStyle w:val="56"/>
        <w:ind w:firstLine="420"/>
      </w:pPr>
      <w:r>
        <w:rPr>
          <w:rFonts w:hint="eastAsia"/>
        </w:rPr>
        <w:t>本文件适用于指导重金属污染场地修复的碳排放核算。</w:t>
      </w:r>
    </w:p>
    <w:p>
      <w:pPr>
        <w:pStyle w:val="104"/>
        <w:spacing w:before="240" w:after="240"/>
      </w:pPr>
      <w:bookmarkStart w:id="52" w:name="_Toc26986772"/>
      <w:bookmarkStart w:id="53" w:name="_Toc175300921"/>
      <w:bookmarkStart w:id="54" w:name="_Toc175236182"/>
      <w:bookmarkStart w:id="55" w:name="_Toc175297718"/>
      <w:bookmarkStart w:id="56" w:name="_Toc175230598"/>
      <w:bookmarkStart w:id="57" w:name="_Toc175232921"/>
      <w:bookmarkStart w:id="58" w:name="_Toc26718931"/>
      <w:bookmarkStart w:id="59" w:name="_Toc175234612"/>
      <w:bookmarkStart w:id="60" w:name="_Toc175236074"/>
      <w:bookmarkStart w:id="61" w:name="_Toc175236202"/>
      <w:bookmarkStart w:id="62" w:name="_Toc26986531"/>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sdt>
      <w:sdtPr>
        <w:rPr>
          <w:rFonts w:hint="eastAsia"/>
        </w:rPr>
        <w:id w:val="715848253"/>
        <w:placeholder>
          <w:docPart w:val="3C6DF103C9A64912B972B8E514DE049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r>
        <w:rPr>
          <w:rFonts w:hint="eastAsia"/>
        </w:rPr>
        <w:t>GB 17167 用能单位能源计量器具配备和管理通则</w:t>
      </w:r>
    </w:p>
    <w:p>
      <w:pPr>
        <w:pStyle w:val="104"/>
        <w:spacing w:before="240" w:after="240"/>
      </w:pPr>
      <w:bookmarkStart w:id="63" w:name="_Toc175230599"/>
      <w:bookmarkStart w:id="64" w:name="_Toc175232922"/>
      <w:bookmarkStart w:id="65" w:name="_Toc175234613"/>
      <w:bookmarkStart w:id="66" w:name="_Toc175236075"/>
      <w:bookmarkStart w:id="67" w:name="_Toc175236203"/>
      <w:bookmarkStart w:id="68" w:name="_Toc175297719"/>
      <w:bookmarkStart w:id="69" w:name="_Toc175236183"/>
      <w:bookmarkStart w:id="70" w:name="_Toc175300922"/>
      <w:r>
        <w:rPr>
          <w:rFonts w:hint="eastAsia"/>
          <w:szCs w:val="21"/>
        </w:rPr>
        <w:t>术语和定义</w:t>
      </w:r>
      <w:bookmarkEnd w:id="63"/>
      <w:bookmarkEnd w:id="64"/>
      <w:bookmarkEnd w:id="65"/>
      <w:bookmarkEnd w:id="66"/>
      <w:bookmarkEnd w:id="67"/>
      <w:bookmarkEnd w:id="68"/>
      <w:bookmarkEnd w:id="69"/>
      <w:bookmarkEnd w:id="70"/>
    </w:p>
    <w:sdt>
      <w:sdtPr>
        <w:id w:val="-1909835108"/>
        <w:placeholder>
          <w:docPart w:val="2A4594E3786B4135BFB410C5AAC0BEA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71" w:name="_Toc26986532"/>
          <w:bookmarkEnd w:id="71"/>
          <w:r>
            <w:t>下列术语和定义适用于本文件。</w:t>
          </w:r>
        </w:p>
      </w:sdtContent>
    </w:sdt>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碳排放 carbon emission</w:t>
      </w:r>
    </w:p>
    <w:p>
      <w:pPr>
        <w:pStyle w:val="56"/>
        <w:ind w:firstLine="420"/>
      </w:pPr>
      <w:r>
        <w:rPr>
          <w:rFonts w:hint="eastAsia"/>
        </w:rPr>
        <w:t>在特定时间段内向大气中释放温室气体的过程。</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核算边界 accounting boundary</w:t>
      </w:r>
    </w:p>
    <w:p>
      <w:pPr>
        <w:pStyle w:val="56"/>
        <w:ind w:firstLine="420"/>
      </w:pPr>
      <w:r>
        <w:rPr>
          <w:rFonts w:hint="eastAsia"/>
        </w:rPr>
        <w:t>与污染场地修复相关的碳排放的范围。</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活动数据 activity data</w:t>
      </w:r>
    </w:p>
    <w:p>
      <w:pPr>
        <w:pStyle w:val="56"/>
        <w:ind w:firstLine="420"/>
      </w:pPr>
      <w:r>
        <w:rPr>
          <w:rFonts w:hint="eastAsia"/>
        </w:rPr>
        <w:t>导致碳排放的生产或消费活动量的表征值。</w:t>
      </w:r>
    </w:p>
    <w:p>
      <w:pPr>
        <w:pStyle w:val="223"/>
        <w:ind w:left="420" w:hanging="420" w:hangingChars="200"/>
        <w:rPr>
          <w:rFonts w:ascii="黑体" w:hAnsi="黑体" w:eastAsia="黑体"/>
        </w:rPr>
      </w:pPr>
      <w:r>
        <w:rPr>
          <w:rFonts w:ascii="黑体" w:hAnsi="黑体" w:eastAsia="黑体"/>
        </w:rPr>
        <w:br w:type="textWrapping"/>
      </w:r>
      <w:r>
        <w:rPr>
          <w:rFonts w:hint="eastAsia" w:ascii="黑体" w:hAnsi="黑体" w:eastAsia="黑体"/>
        </w:rPr>
        <w:t>排放因子 emission factor</w:t>
      </w:r>
    </w:p>
    <w:p>
      <w:pPr>
        <w:pStyle w:val="56"/>
        <w:ind w:firstLine="420"/>
      </w:pPr>
      <w:r>
        <w:rPr>
          <w:rFonts w:hint="eastAsia"/>
        </w:rPr>
        <w:t>表征单位生产或消费活动量的碳排放的系数。</w:t>
      </w:r>
    </w:p>
    <w:p>
      <w:pPr>
        <w:pStyle w:val="104"/>
        <w:spacing w:before="240" w:after="240"/>
      </w:pPr>
      <w:bookmarkStart w:id="72" w:name="_Toc175230600"/>
      <w:bookmarkStart w:id="73" w:name="_Toc175236204"/>
      <w:bookmarkStart w:id="74" w:name="_Toc175232923"/>
      <w:bookmarkStart w:id="75" w:name="_Toc175236076"/>
      <w:bookmarkStart w:id="76" w:name="_Toc175236184"/>
      <w:bookmarkStart w:id="77" w:name="_Toc175297720"/>
      <w:bookmarkStart w:id="78" w:name="_Toc175300923"/>
      <w:bookmarkStart w:id="79" w:name="_Toc175234614"/>
      <w:r>
        <w:rPr>
          <w:rFonts w:hint="eastAsia"/>
        </w:rPr>
        <w:t>碳排放核算的工作流程</w:t>
      </w:r>
      <w:bookmarkEnd w:id="72"/>
      <w:bookmarkEnd w:id="73"/>
      <w:bookmarkEnd w:id="74"/>
      <w:bookmarkEnd w:id="75"/>
      <w:bookmarkEnd w:id="76"/>
      <w:bookmarkEnd w:id="77"/>
      <w:bookmarkEnd w:id="78"/>
      <w:bookmarkEnd w:id="79"/>
    </w:p>
    <w:p>
      <w:pPr>
        <w:pStyle w:val="56"/>
        <w:ind w:firstLine="420"/>
      </w:pPr>
      <w:r>
        <w:rPr>
          <w:rFonts w:hint="eastAsia"/>
        </w:rPr>
        <w:t>开展污染场地修复的碳排放核算工作流程分为以下几个步骤：</w:t>
      </w:r>
    </w:p>
    <w:p>
      <w:pPr>
        <w:pStyle w:val="174"/>
      </w:pPr>
      <w:r>
        <w:rPr>
          <w:rFonts w:hint="eastAsia"/>
        </w:rPr>
        <w:t>确定碳排放核算边界。</w:t>
      </w:r>
    </w:p>
    <w:p>
      <w:pPr>
        <w:pStyle w:val="174"/>
      </w:pPr>
      <w:r>
        <w:rPr>
          <w:rFonts w:hint="eastAsia"/>
        </w:rPr>
        <w:t>进行碳排放核算，具体包括：</w:t>
      </w:r>
    </w:p>
    <w:p>
      <w:pPr>
        <w:pStyle w:val="109"/>
      </w:pPr>
      <w:r>
        <w:rPr>
          <w:rFonts w:hint="eastAsia"/>
        </w:rPr>
        <w:t>识别碳排放源；</w:t>
      </w:r>
    </w:p>
    <w:p>
      <w:pPr>
        <w:pStyle w:val="109"/>
      </w:pPr>
      <w:r>
        <w:rPr>
          <w:rFonts w:hint="eastAsia"/>
        </w:rPr>
        <w:t>选择核算方法；</w:t>
      </w:r>
    </w:p>
    <w:p>
      <w:pPr>
        <w:pStyle w:val="109"/>
      </w:pPr>
      <w:r>
        <w:rPr>
          <w:rFonts w:hint="eastAsia"/>
        </w:rPr>
        <w:t>获取活动数据；</w:t>
      </w:r>
    </w:p>
    <w:p>
      <w:pPr>
        <w:pStyle w:val="109"/>
      </w:pPr>
      <w:r>
        <w:rPr>
          <w:rFonts w:hint="eastAsia"/>
        </w:rPr>
        <w:t>获取排放因子；</w:t>
      </w:r>
    </w:p>
    <w:p>
      <w:pPr>
        <w:pStyle w:val="109"/>
      </w:pPr>
      <w:r>
        <w:rPr>
          <w:rFonts w:hint="eastAsia"/>
        </w:rPr>
        <w:t>计算碳排放量。</w:t>
      </w:r>
    </w:p>
    <w:p>
      <w:pPr>
        <w:pStyle w:val="174"/>
      </w:pPr>
      <w:r>
        <w:rPr>
          <w:rFonts w:hint="eastAsia"/>
        </w:rPr>
        <w:t>核算工作质量保证。</w:t>
      </w:r>
    </w:p>
    <w:p>
      <w:pPr>
        <w:pStyle w:val="174"/>
      </w:pPr>
      <w:r>
        <w:rPr>
          <w:rFonts w:hint="eastAsia"/>
        </w:rPr>
        <w:t>撰写碳排放报告。</w:t>
      </w:r>
    </w:p>
    <w:p>
      <w:pPr>
        <w:pStyle w:val="104"/>
        <w:spacing w:before="240" w:after="240"/>
      </w:pPr>
      <w:bookmarkStart w:id="80" w:name="_Toc175236077"/>
      <w:bookmarkStart w:id="81" w:name="_Toc175236205"/>
      <w:bookmarkStart w:id="82" w:name="_Toc175236185"/>
      <w:bookmarkStart w:id="83" w:name="_Toc175230601"/>
      <w:bookmarkStart w:id="84" w:name="_Toc175232924"/>
      <w:bookmarkStart w:id="85" w:name="_Toc175297721"/>
      <w:bookmarkStart w:id="86" w:name="_Toc175234615"/>
      <w:bookmarkStart w:id="87" w:name="_Toc175300924"/>
      <w:r>
        <w:rPr>
          <w:rFonts w:hint="eastAsia"/>
        </w:rPr>
        <w:t>碳排放核算边界</w:t>
      </w:r>
      <w:bookmarkEnd w:id="80"/>
      <w:bookmarkEnd w:id="81"/>
      <w:bookmarkEnd w:id="82"/>
      <w:bookmarkEnd w:id="83"/>
      <w:bookmarkEnd w:id="84"/>
      <w:bookmarkEnd w:id="85"/>
      <w:bookmarkEnd w:id="86"/>
      <w:bookmarkEnd w:id="87"/>
    </w:p>
    <w:p>
      <w:pPr>
        <w:pStyle w:val="56"/>
        <w:ind w:firstLine="420"/>
      </w:pPr>
      <w:r>
        <w:rPr>
          <w:rFonts w:hint="eastAsia"/>
        </w:rPr>
        <w:t>以污染场地为边界，核算污染场地修复过程产生的碳排放，包括化石燃料燃烧产生的直接碳排放、化石燃料生产及运输过程产生的间接碳排放和修复过程投入物料及产出废弃物处置产生的间接碳排放。</w:t>
      </w:r>
    </w:p>
    <w:p>
      <w:pPr>
        <w:pStyle w:val="104"/>
        <w:spacing w:before="240" w:after="240"/>
      </w:pPr>
      <w:bookmarkStart w:id="88" w:name="_Toc175230602"/>
      <w:bookmarkStart w:id="89" w:name="_Toc175232925"/>
      <w:bookmarkStart w:id="90" w:name="_Toc175234616"/>
      <w:bookmarkStart w:id="91" w:name="_Toc175236078"/>
      <w:bookmarkStart w:id="92" w:name="_Toc175236186"/>
      <w:bookmarkStart w:id="93" w:name="_Toc175236206"/>
      <w:bookmarkStart w:id="94" w:name="_Toc175300925"/>
      <w:bookmarkStart w:id="95" w:name="_Toc175297722"/>
      <w:r>
        <w:rPr>
          <w:rFonts w:hint="eastAsia"/>
        </w:rPr>
        <w:t>碳排放核算步骤与方法</w:t>
      </w:r>
      <w:bookmarkEnd w:id="88"/>
      <w:bookmarkEnd w:id="89"/>
      <w:bookmarkEnd w:id="90"/>
      <w:bookmarkEnd w:id="91"/>
      <w:bookmarkEnd w:id="92"/>
      <w:bookmarkEnd w:id="93"/>
      <w:bookmarkEnd w:id="94"/>
      <w:bookmarkEnd w:id="95"/>
    </w:p>
    <w:p>
      <w:pPr>
        <w:pStyle w:val="105"/>
        <w:spacing w:before="120" w:after="120"/>
      </w:pPr>
      <w:bookmarkStart w:id="96" w:name="_Toc175230603"/>
      <w:bookmarkStart w:id="97" w:name="_Toc175232926"/>
      <w:bookmarkStart w:id="98" w:name="_Toc175236079"/>
      <w:bookmarkStart w:id="99" w:name="_Toc175236187"/>
      <w:bookmarkStart w:id="100" w:name="_Toc175236207"/>
      <w:bookmarkStart w:id="101" w:name="_Toc175234617"/>
      <w:bookmarkStart w:id="102" w:name="_Toc175297723"/>
      <w:bookmarkStart w:id="103" w:name="_Toc175300926"/>
      <w:r>
        <w:rPr>
          <w:rFonts w:hint="eastAsia"/>
        </w:rPr>
        <w:t>识别碳排放源</w:t>
      </w:r>
      <w:bookmarkEnd w:id="96"/>
      <w:bookmarkEnd w:id="97"/>
      <w:bookmarkEnd w:id="98"/>
      <w:bookmarkEnd w:id="99"/>
      <w:bookmarkEnd w:id="100"/>
      <w:bookmarkEnd w:id="101"/>
      <w:bookmarkEnd w:id="102"/>
      <w:bookmarkEnd w:id="103"/>
    </w:p>
    <w:p>
      <w:pPr>
        <w:pStyle w:val="56"/>
        <w:ind w:firstLine="420"/>
      </w:pPr>
      <w:r>
        <w:rPr>
          <w:rFonts w:hint="eastAsia"/>
        </w:rPr>
        <w:t>在所确定的核算边界范围内，对各类碳排放源进行识别，碳排放源清单见表1。</w:t>
      </w:r>
    </w:p>
    <w:p>
      <w:pPr>
        <w:pStyle w:val="112"/>
        <w:spacing w:before="120" w:after="120"/>
      </w:pPr>
      <w:r>
        <w:rPr>
          <w:rFonts w:hint="eastAsia"/>
        </w:rPr>
        <w:t>重金属污染场地修复碳排放源清单</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85"/>
        <w:gridCol w:w="1583"/>
        <w:gridCol w:w="303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5" w:type="dxa"/>
            <w:shd w:val="clear" w:color="auto" w:fill="auto"/>
            <w:vAlign w:val="center"/>
          </w:tcPr>
          <w:p>
            <w:pPr>
              <w:pStyle w:val="178"/>
              <w:rPr>
                <w:b/>
              </w:rPr>
            </w:pPr>
            <w:r>
              <w:rPr>
                <w:rFonts w:hint="eastAsia"/>
                <w:b/>
              </w:rPr>
              <w:t>修复过程</w:t>
            </w:r>
          </w:p>
        </w:tc>
        <w:tc>
          <w:tcPr>
            <w:tcW w:w="1583" w:type="dxa"/>
            <w:shd w:val="clear" w:color="auto" w:fill="auto"/>
            <w:vAlign w:val="center"/>
          </w:tcPr>
          <w:p>
            <w:pPr>
              <w:pStyle w:val="178"/>
              <w:rPr>
                <w:b/>
              </w:rPr>
            </w:pPr>
            <w:r>
              <w:rPr>
                <w:rFonts w:hint="eastAsia"/>
                <w:b/>
              </w:rPr>
              <w:t>直接碳排放源</w:t>
            </w:r>
          </w:p>
        </w:tc>
        <w:tc>
          <w:tcPr>
            <w:tcW w:w="3038" w:type="dxa"/>
          </w:tcPr>
          <w:p>
            <w:pPr>
              <w:pStyle w:val="178"/>
              <w:rPr>
                <w:b/>
              </w:rPr>
            </w:pPr>
            <w:r>
              <w:rPr>
                <w:rFonts w:hint="eastAsia"/>
                <w:b/>
              </w:rPr>
              <w:t>间接碳排放源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5" w:type="dxa"/>
            <w:shd w:val="clear" w:color="auto" w:fill="auto"/>
            <w:vAlign w:val="center"/>
          </w:tcPr>
          <w:p>
            <w:pPr>
              <w:pStyle w:val="178"/>
            </w:pPr>
            <w:r>
              <w:rPr>
                <w:rFonts w:hint="eastAsia"/>
              </w:rPr>
              <w:t>土壤开挖</w:t>
            </w:r>
          </w:p>
        </w:tc>
        <w:tc>
          <w:tcPr>
            <w:tcW w:w="1583" w:type="dxa"/>
            <w:shd w:val="clear" w:color="auto" w:fill="auto"/>
            <w:vAlign w:val="center"/>
          </w:tcPr>
          <w:p>
            <w:pPr>
              <w:pStyle w:val="178"/>
            </w:pPr>
            <w:r>
              <w:rPr>
                <w:rFonts w:hint="eastAsia"/>
              </w:rPr>
              <w:t>柴油</w:t>
            </w:r>
          </w:p>
        </w:tc>
        <w:tc>
          <w:tcPr>
            <w:tcW w:w="3038" w:type="dxa"/>
          </w:tcPr>
          <w:p>
            <w:pPr>
              <w:pStyle w:val="178"/>
            </w:pPr>
            <w:r>
              <w:rPr>
                <w:rFonts w:hint="eastAsia"/>
              </w:rPr>
              <w:t>柴油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5" w:type="dxa"/>
            <w:shd w:val="clear" w:color="auto" w:fill="auto"/>
            <w:vAlign w:val="center"/>
          </w:tcPr>
          <w:p>
            <w:pPr>
              <w:pStyle w:val="178"/>
            </w:pPr>
            <w:r>
              <w:rPr>
                <w:rFonts w:hint="eastAsia"/>
              </w:rPr>
              <w:t>运输</w:t>
            </w:r>
          </w:p>
        </w:tc>
        <w:tc>
          <w:tcPr>
            <w:tcW w:w="1583" w:type="dxa"/>
            <w:shd w:val="clear" w:color="auto" w:fill="auto"/>
            <w:vAlign w:val="center"/>
          </w:tcPr>
          <w:p>
            <w:pPr>
              <w:pStyle w:val="178"/>
            </w:pPr>
            <w:r>
              <w:rPr>
                <w:rFonts w:hint="eastAsia"/>
              </w:rPr>
              <w:t>柴油</w:t>
            </w:r>
          </w:p>
        </w:tc>
        <w:tc>
          <w:tcPr>
            <w:tcW w:w="3038" w:type="dxa"/>
          </w:tcPr>
          <w:p>
            <w:pPr>
              <w:pStyle w:val="178"/>
            </w:pPr>
            <w:r>
              <w:rPr>
                <w:rFonts w:hint="eastAsia"/>
              </w:rPr>
              <w:t>柴油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5" w:type="dxa"/>
            <w:shd w:val="clear" w:color="auto" w:fill="auto"/>
            <w:vAlign w:val="center"/>
          </w:tcPr>
          <w:p>
            <w:pPr>
              <w:pStyle w:val="178"/>
            </w:pPr>
            <w:r>
              <w:rPr>
                <w:rFonts w:hint="eastAsia"/>
              </w:rPr>
              <w:t>预处理</w:t>
            </w:r>
          </w:p>
        </w:tc>
        <w:tc>
          <w:tcPr>
            <w:tcW w:w="1583" w:type="dxa"/>
            <w:shd w:val="clear" w:color="auto" w:fill="auto"/>
            <w:vAlign w:val="center"/>
          </w:tcPr>
          <w:p>
            <w:pPr>
              <w:pStyle w:val="178"/>
            </w:pPr>
            <w:r>
              <w:rPr>
                <w:rFonts w:hint="eastAsia"/>
              </w:rPr>
              <w:t>柴油</w:t>
            </w:r>
          </w:p>
        </w:tc>
        <w:tc>
          <w:tcPr>
            <w:tcW w:w="3038" w:type="dxa"/>
          </w:tcPr>
          <w:p>
            <w:pPr>
              <w:pStyle w:val="178"/>
            </w:pPr>
            <w:r>
              <w:rPr>
                <w:rFonts w:hint="eastAsia"/>
              </w:rPr>
              <w:t>柴油、电力、生石灰、钢材、混凝土、一般固废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5" w:type="dxa"/>
            <w:shd w:val="clear" w:color="auto" w:fill="auto"/>
            <w:vAlign w:val="center"/>
          </w:tcPr>
          <w:p>
            <w:pPr>
              <w:pStyle w:val="178"/>
            </w:pPr>
            <w:r>
              <w:rPr>
                <w:rFonts w:hint="eastAsia"/>
              </w:rPr>
              <w:t>主处理</w:t>
            </w:r>
          </w:p>
        </w:tc>
        <w:tc>
          <w:tcPr>
            <w:tcW w:w="1583" w:type="dxa"/>
            <w:shd w:val="clear" w:color="auto" w:fill="auto"/>
            <w:vAlign w:val="center"/>
          </w:tcPr>
          <w:p>
            <w:pPr>
              <w:pStyle w:val="178"/>
            </w:pPr>
            <w:r>
              <w:rPr>
                <w:rFonts w:hint="eastAsia"/>
              </w:rPr>
              <w:t>柴油、天然气</w:t>
            </w:r>
          </w:p>
        </w:tc>
        <w:tc>
          <w:tcPr>
            <w:tcW w:w="3038" w:type="dxa"/>
          </w:tcPr>
          <w:p>
            <w:pPr>
              <w:pStyle w:val="178"/>
            </w:pPr>
            <w:r>
              <w:rPr>
                <w:rFonts w:hint="eastAsia"/>
              </w:rPr>
              <w:t>柴油、电力、天然气、钢材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5" w:type="dxa"/>
            <w:shd w:val="clear" w:color="auto" w:fill="auto"/>
            <w:vAlign w:val="center"/>
          </w:tcPr>
          <w:p>
            <w:pPr>
              <w:pStyle w:val="178"/>
            </w:pPr>
            <w:r>
              <w:rPr>
                <w:rFonts w:hint="eastAsia"/>
              </w:rPr>
              <w:t>尾气处理</w:t>
            </w:r>
          </w:p>
        </w:tc>
        <w:tc>
          <w:tcPr>
            <w:tcW w:w="1583" w:type="dxa"/>
            <w:shd w:val="clear" w:color="auto" w:fill="auto"/>
            <w:vAlign w:val="center"/>
          </w:tcPr>
          <w:p>
            <w:pPr>
              <w:pStyle w:val="178"/>
            </w:pPr>
            <w:r>
              <w:rPr>
                <w:rFonts w:hint="eastAsia"/>
              </w:rPr>
              <w:t>-</w:t>
            </w:r>
          </w:p>
        </w:tc>
        <w:tc>
          <w:tcPr>
            <w:tcW w:w="3038" w:type="dxa"/>
          </w:tcPr>
          <w:p>
            <w:pPr>
              <w:pStyle w:val="178"/>
            </w:pPr>
            <w:r>
              <w:rPr>
                <w:rFonts w:hint="eastAsia"/>
              </w:rPr>
              <w:t>电力、活性炭、工业用水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85" w:type="dxa"/>
            <w:shd w:val="clear" w:color="auto" w:fill="auto"/>
            <w:vAlign w:val="center"/>
          </w:tcPr>
          <w:p>
            <w:pPr>
              <w:pStyle w:val="178"/>
            </w:pPr>
            <w:r>
              <w:rPr>
                <w:rFonts w:hint="eastAsia"/>
              </w:rPr>
              <w:t>最终处置</w:t>
            </w:r>
          </w:p>
        </w:tc>
        <w:tc>
          <w:tcPr>
            <w:tcW w:w="1583" w:type="dxa"/>
            <w:shd w:val="clear" w:color="auto" w:fill="auto"/>
            <w:vAlign w:val="center"/>
          </w:tcPr>
          <w:p>
            <w:pPr>
              <w:pStyle w:val="178"/>
            </w:pPr>
            <w:r>
              <w:rPr>
                <w:rFonts w:hint="eastAsia"/>
              </w:rPr>
              <w:t>柴油</w:t>
            </w:r>
          </w:p>
        </w:tc>
        <w:tc>
          <w:tcPr>
            <w:tcW w:w="3038" w:type="dxa"/>
          </w:tcPr>
          <w:p>
            <w:pPr>
              <w:pStyle w:val="178"/>
            </w:pPr>
            <w:r>
              <w:rPr>
                <w:rFonts w:hint="eastAsia"/>
              </w:rPr>
              <w:t>柴油</w:t>
            </w:r>
          </w:p>
        </w:tc>
      </w:tr>
    </w:tbl>
    <w:p>
      <w:pPr>
        <w:pStyle w:val="179"/>
        <w:rPr>
          <w:rFonts w:hint="eastAsia"/>
        </w:rPr>
      </w:pPr>
      <w:bookmarkStart w:id="104" w:name="_Toc175236208"/>
      <w:bookmarkStart w:id="105" w:name="_Toc175236188"/>
      <w:bookmarkStart w:id="106" w:name="_Toc175230604"/>
      <w:bookmarkStart w:id="107" w:name="_Toc175232927"/>
      <w:bookmarkStart w:id="108" w:name="_Toc175234618"/>
      <w:bookmarkStart w:id="109" w:name="_Toc175236080"/>
      <w:r>
        <w:rPr>
          <w:rFonts w:hint="eastAsia"/>
        </w:rPr>
        <w:t>本表给出了常见的重金属污染场地修复过程的碳排放源，实际核算时应识别具体修复过程的碳排放源，常见的重金属污染场地修复技术及主要修复过程见附录A。</w:t>
      </w:r>
    </w:p>
    <w:p>
      <w:pPr>
        <w:pStyle w:val="105"/>
        <w:spacing w:before="120" w:after="120"/>
      </w:pPr>
      <w:bookmarkStart w:id="110" w:name="_Toc175300927"/>
      <w:bookmarkStart w:id="111" w:name="_Toc175297724"/>
      <w:r>
        <w:rPr>
          <w:rFonts w:hint="eastAsia"/>
        </w:rPr>
        <w:t>碳排放计算方法</w:t>
      </w:r>
      <w:bookmarkEnd w:id="104"/>
      <w:bookmarkEnd w:id="105"/>
      <w:bookmarkEnd w:id="106"/>
      <w:bookmarkEnd w:id="107"/>
      <w:bookmarkEnd w:id="108"/>
      <w:bookmarkEnd w:id="109"/>
      <w:bookmarkEnd w:id="110"/>
      <w:bookmarkEnd w:id="111"/>
    </w:p>
    <w:p>
      <w:pPr>
        <w:pStyle w:val="56"/>
        <w:ind w:firstLine="420"/>
      </w:pPr>
      <w:r>
        <w:rPr>
          <w:rFonts w:hint="eastAsia"/>
        </w:rPr>
        <w:t>采用排放因子法，依照碳排放源清单列表，针对每一种碳排放源构造其活动数据与排放因子，以活动数据和排放因子的乘积作为该排放项目的碳排放量估算值，见公式（1）。</w:t>
      </w:r>
    </w:p>
    <w:p>
      <w:pPr>
        <w:pStyle w:val="113"/>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GHG</m:t>
            </m:r>
            <m:ctrlPr>
              <w:rPr>
                <w:rFonts w:ascii="Cambria Math" w:hAnsi="Cambria Math"/>
              </w:rPr>
            </m:ctrlPr>
          </m:sub>
        </m:sSub>
        <m:r>
          <m:rPr/>
          <w:rPr>
            <w:rFonts w:ascii="Cambria Math" w:hAnsi="Cambria Math"/>
          </w:rPr>
          <m:t>=AD×EF</m:t>
        </m:r>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6"/>
        <w:ind w:firstLine="420"/>
      </w:pPr>
      <w:r>
        <w:rPr>
          <w:rFonts w:hint="eastAsia"/>
        </w:rPr>
        <w:t>E</w:t>
      </w:r>
      <w:r>
        <w:rPr>
          <w:rFonts w:hint="eastAsia"/>
          <w:vertAlign w:val="subscript"/>
        </w:rPr>
        <w:t>GHG</w:t>
      </w:r>
      <w:r>
        <w:rPr>
          <w:rFonts w:hint="eastAsia"/>
        </w:rPr>
        <w:t>——碳排放量；</w:t>
      </w:r>
    </w:p>
    <w:p>
      <w:pPr>
        <w:pStyle w:val="165"/>
        <w:numPr>
          <w:ilvl w:val="0"/>
          <w:numId w:val="0"/>
        </w:numPr>
        <w:ind w:firstLine="420" w:firstLineChars="200"/>
      </w:pPr>
      <w:r>
        <w:rPr>
          <w:rFonts w:hint="eastAsia"/>
        </w:rPr>
        <w:t>AD——活动数据；</w:t>
      </w:r>
    </w:p>
    <w:p>
      <w:pPr>
        <w:pStyle w:val="165"/>
        <w:numPr>
          <w:ilvl w:val="0"/>
          <w:numId w:val="0"/>
        </w:numPr>
        <w:ind w:firstLine="420" w:firstLineChars="200"/>
      </w:pPr>
      <w:r>
        <w:rPr>
          <w:rFonts w:hint="eastAsia"/>
        </w:rPr>
        <w:t>EF——排放因子。</w:t>
      </w:r>
    </w:p>
    <w:p>
      <w:pPr>
        <w:pStyle w:val="105"/>
        <w:spacing w:before="120" w:after="120"/>
      </w:pPr>
      <w:bookmarkStart w:id="112" w:name="_Toc175236189"/>
      <w:bookmarkStart w:id="113" w:name="_Toc175236209"/>
      <w:bookmarkStart w:id="114" w:name="_Toc175236081"/>
      <w:bookmarkStart w:id="115" w:name="_Toc175297725"/>
      <w:bookmarkStart w:id="116" w:name="_Toc175234619"/>
      <w:bookmarkStart w:id="117" w:name="_Toc175300928"/>
      <w:bookmarkStart w:id="118" w:name="_Toc175230605"/>
      <w:bookmarkStart w:id="119" w:name="_Toc175232928"/>
      <w:r>
        <w:rPr>
          <w:rFonts w:hint="eastAsia"/>
        </w:rPr>
        <w:t>获取活动数据</w:t>
      </w:r>
      <w:bookmarkEnd w:id="112"/>
      <w:bookmarkEnd w:id="113"/>
      <w:bookmarkEnd w:id="114"/>
      <w:bookmarkEnd w:id="115"/>
      <w:bookmarkEnd w:id="116"/>
      <w:bookmarkEnd w:id="117"/>
      <w:bookmarkEnd w:id="118"/>
      <w:bookmarkEnd w:id="119"/>
    </w:p>
    <w:p>
      <w:pPr>
        <w:pStyle w:val="56"/>
        <w:ind w:firstLine="420"/>
      </w:pPr>
      <w:r>
        <w:rPr>
          <w:rFonts w:hint="eastAsia"/>
        </w:rPr>
        <w:t>应按照优先级由高到低的次序获取活动数据，如表2所示。</w:t>
      </w:r>
    </w:p>
    <w:p>
      <w:pPr>
        <w:pStyle w:val="112"/>
        <w:spacing w:before="120" w:after="120"/>
      </w:pPr>
      <w:r>
        <w:rPr>
          <w:rFonts w:hint="eastAsia"/>
        </w:rPr>
        <w:t>活动数据获取优先级</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711"/>
        <w:gridCol w:w="5954"/>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711" w:type="dxa"/>
            <w:tcBorders>
              <w:top w:val="single" w:color="auto" w:sz="8" w:space="0"/>
              <w:bottom w:val="single" w:color="auto" w:sz="8" w:space="0"/>
            </w:tcBorders>
            <w:shd w:val="clear" w:color="auto" w:fill="auto"/>
            <w:vAlign w:val="center"/>
          </w:tcPr>
          <w:p>
            <w:pPr>
              <w:pStyle w:val="178"/>
              <w:rPr>
                <w:b/>
              </w:rPr>
            </w:pPr>
            <w:r>
              <w:rPr>
                <w:rFonts w:hint="eastAsia"/>
                <w:b/>
              </w:rPr>
              <w:t>数量类型</w:t>
            </w:r>
          </w:p>
        </w:tc>
        <w:tc>
          <w:tcPr>
            <w:tcW w:w="5954" w:type="dxa"/>
            <w:tcBorders>
              <w:top w:val="single" w:color="auto" w:sz="8" w:space="0"/>
              <w:bottom w:val="single" w:color="auto" w:sz="8" w:space="0"/>
            </w:tcBorders>
            <w:shd w:val="clear" w:color="auto" w:fill="auto"/>
            <w:vAlign w:val="center"/>
          </w:tcPr>
          <w:p>
            <w:pPr>
              <w:pStyle w:val="178"/>
              <w:rPr>
                <w:b/>
              </w:rPr>
            </w:pPr>
            <w:r>
              <w:rPr>
                <w:rFonts w:hint="eastAsia"/>
                <w:b/>
              </w:rPr>
              <w:t>描述</w:t>
            </w:r>
          </w:p>
        </w:tc>
        <w:tc>
          <w:tcPr>
            <w:tcW w:w="1709" w:type="dxa"/>
            <w:tcBorders>
              <w:top w:val="single" w:color="auto" w:sz="8" w:space="0"/>
              <w:bottom w:val="single" w:color="auto" w:sz="8" w:space="0"/>
            </w:tcBorders>
            <w:shd w:val="clear" w:color="auto" w:fill="auto"/>
            <w:vAlign w:val="center"/>
          </w:tcPr>
          <w:p>
            <w:pPr>
              <w:pStyle w:val="178"/>
              <w:rPr>
                <w:b/>
              </w:rPr>
            </w:pPr>
            <w:r>
              <w:rPr>
                <w:rFonts w:hint="eastAsia"/>
                <w:b/>
              </w:rPr>
              <w:t>优先级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tcBorders>
              <w:top w:val="single" w:color="auto" w:sz="8" w:space="0"/>
            </w:tcBorders>
            <w:shd w:val="clear" w:color="auto" w:fill="auto"/>
            <w:vAlign w:val="center"/>
          </w:tcPr>
          <w:p>
            <w:pPr>
              <w:pStyle w:val="178"/>
            </w:pPr>
            <w:r>
              <w:rPr>
                <w:rFonts w:hint="eastAsia"/>
              </w:rPr>
              <w:t>原始数据</w:t>
            </w:r>
          </w:p>
        </w:tc>
        <w:tc>
          <w:tcPr>
            <w:tcW w:w="5954" w:type="dxa"/>
            <w:tcBorders>
              <w:top w:val="single" w:color="auto" w:sz="8" w:space="0"/>
            </w:tcBorders>
            <w:shd w:val="clear" w:color="auto" w:fill="auto"/>
            <w:vAlign w:val="center"/>
          </w:tcPr>
          <w:p>
            <w:pPr>
              <w:pStyle w:val="178"/>
            </w:pPr>
            <w:r>
              <w:rPr>
                <w:rFonts w:hint="eastAsia"/>
              </w:rPr>
              <w:t>直接计量、监测获得的数据</w:t>
            </w:r>
          </w:p>
        </w:tc>
        <w:tc>
          <w:tcPr>
            <w:tcW w:w="1709" w:type="dxa"/>
            <w:tcBorders>
              <w:top w:val="single" w:color="auto" w:sz="8" w:space="0"/>
            </w:tcBorders>
            <w:shd w:val="clear" w:color="auto" w:fill="auto"/>
            <w:vAlign w:val="center"/>
          </w:tcPr>
          <w:p>
            <w:pPr>
              <w:pStyle w:val="178"/>
            </w:pPr>
            <w:r>
              <w:rPr>
                <w:rFonts w:hint="eastAsia"/>
              </w:rPr>
              <w:t>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shd w:val="clear" w:color="auto" w:fill="auto"/>
            <w:vAlign w:val="center"/>
          </w:tcPr>
          <w:p>
            <w:pPr>
              <w:pStyle w:val="178"/>
            </w:pPr>
            <w:r>
              <w:rPr>
                <w:rFonts w:hint="eastAsia"/>
              </w:rPr>
              <w:t>二次数据</w:t>
            </w:r>
          </w:p>
        </w:tc>
        <w:tc>
          <w:tcPr>
            <w:tcW w:w="5954" w:type="dxa"/>
            <w:shd w:val="clear" w:color="auto" w:fill="auto"/>
            <w:vAlign w:val="center"/>
          </w:tcPr>
          <w:p>
            <w:pPr>
              <w:pStyle w:val="178"/>
            </w:pPr>
            <w:r>
              <w:rPr>
                <w:rFonts w:hint="eastAsia"/>
              </w:rPr>
              <w:t>通过原始数据折算获得的数据，如:根据年度购买量及库存量的变化确定的数据；根据财务数据折算的数据等</w:t>
            </w:r>
          </w:p>
        </w:tc>
        <w:tc>
          <w:tcPr>
            <w:tcW w:w="1709" w:type="dxa"/>
            <w:shd w:val="clear" w:color="auto" w:fill="auto"/>
            <w:vAlign w:val="center"/>
          </w:tcPr>
          <w:p>
            <w:pPr>
              <w:pStyle w:val="178"/>
            </w:pPr>
            <w:r>
              <w:rPr>
                <w:rFonts w:hint="eastAsia"/>
              </w:rPr>
              <w:t>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711" w:type="dxa"/>
            <w:shd w:val="clear" w:color="auto" w:fill="auto"/>
            <w:vAlign w:val="center"/>
          </w:tcPr>
          <w:p>
            <w:pPr>
              <w:pStyle w:val="178"/>
            </w:pPr>
            <w:r>
              <w:rPr>
                <w:rFonts w:hint="eastAsia"/>
              </w:rPr>
              <w:t>替代数据</w:t>
            </w:r>
          </w:p>
        </w:tc>
        <w:tc>
          <w:tcPr>
            <w:tcW w:w="5954" w:type="dxa"/>
            <w:shd w:val="clear" w:color="auto" w:fill="auto"/>
            <w:vAlign w:val="center"/>
          </w:tcPr>
          <w:p>
            <w:pPr>
              <w:pStyle w:val="178"/>
            </w:pPr>
            <w:r>
              <w:rPr>
                <w:rFonts w:hint="eastAsia"/>
              </w:rPr>
              <w:t>来自相似过程或活动的数据</w:t>
            </w:r>
          </w:p>
        </w:tc>
        <w:tc>
          <w:tcPr>
            <w:tcW w:w="1709" w:type="dxa"/>
            <w:shd w:val="clear" w:color="auto" w:fill="auto"/>
            <w:vAlign w:val="center"/>
          </w:tcPr>
          <w:p>
            <w:pPr>
              <w:pStyle w:val="178"/>
            </w:pPr>
            <w:r>
              <w:rPr>
                <w:rFonts w:hint="eastAsia"/>
              </w:rPr>
              <w:t>低</w:t>
            </w:r>
          </w:p>
        </w:tc>
      </w:tr>
    </w:tbl>
    <w:p>
      <w:pPr>
        <w:pStyle w:val="105"/>
        <w:spacing w:before="120" w:after="120"/>
      </w:pPr>
      <w:bookmarkStart w:id="120" w:name="_Toc175236190"/>
      <w:bookmarkStart w:id="121" w:name="_Toc175236210"/>
      <w:bookmarkStart w:id="122" w:name="_Toc175297726"/>
      <w:bookmarkStart w:id="123" w:name="_Toc175300929"/>
      <w:bookmarkStart w:id="124" w:name="_Toc175234620"/>
      <w:bookmarkStart w:id="125" w:name="_Toc175236082"/>
      <w:bookmarkStart w:id="126" w:name="_Toc175232929"/>
      <w:bookmarkStart w:id="127" w:name="_Toc175230606"/>
      <w:r>
        <w:rPr>
          <w:rFonts w:hint="eastAsia"/>
        </w:rPr>
        <w:t>获取排放因子</w:t>
      </w:r>
      <w:bookmarkEnd w:id="120"/>
      <w:bookmarkEnd w:id="121"/>
      <w:bookmarkEnd w:id="122"/>
      <w:bookmarkEnd w:id="123"/>
      <w:bookmarkEnd w:id="124"/>
      <w:bookmarkEnd w:id="125"/>
      <w:bookmarkEnd w:id="126"/>
      <w:bookmarkEnd w:id="127"/>
    </w:p>
    <w:p>
      <w:pPr>
        <w:pStyle w:val="165"/>
      </w:pPr>
      <w:r>
        <w:rPr>
          <w:rFonts w:hint="eastAsia"/>
        </w:rPr>
        <w:t>在获取排放因子时，应考虑如下因素：</w:t>
      </w:r>
    </w:p>
    <w:p>
      <w:pPr>
        <w:pStyle w:val="132"/>
      </w:pPr>
      <w:r>
        <w:rPr>
          <w:rFonts w:hint="eastAsia"/>
        </w:rPr>
        <w:t>来源明确，有公信力；</w:t>
      </w:r>
    </w:p>
    <w:p>
      <w:pPr>
        <w:pStyle w:val="132"/>
      </w:pPr>
      <w:r>
        <w:rPr>
          <w:rFonts w:hint="eastAsia"/>
        </w:rPr>
        <w:t>适用性；</w:t>
      </w:r>
    </w:p>
    <w:p>
      <w:pPr>
        <w:pStyle w:val="132"/>
      </w:pPr>
      <w:r>
        <w:rPr>
          <w:rFonts w:hint="eastAsia"/>
        </w:rPr>
        <w:t>时效性。</w:t>
      </w:r>
    </w:p>
    <w:p>
      <w:pPr>
        <w:pStyle w:val="165"/>
      </w:pPr>
      <w:r>
        <w:rPr>
          <w:rFonts w:hint="eastAsia"/>
        </w:rPr>
        <w:t>应按照优先级由高到低的次序获取排放因子，如表3所示。</w:t>
      </w:r>
    </w:p>
    <w:p>
      <w:pPr>
        <w:pStyle w:val="112"/>
        <w:spacing w:before="120" w:after="120"/>
      </w:pPr>
      <w:r>
        <w:rPr>
          <w:rFonts w:hint="eastAsia"/>
        </w:rPr>
        <w:t>排放因子获取优先级</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420"/>
        <w:gridCol w:w="5245"/>
        <w:gridCol w:w="170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420" w:type="dxa"/>
            <w:tcBorders>
              <w:top w:val="single" w:color="auto" w:sz="8" w:space="0"/>
              <w:bottom w:val="single" w:color="auto" w:sz="8" w:space="0"/>
            </w:tcBorders>
            <w:shd w:val="clear" w:color="auto" w:fill="auto"/>
            <w:vAlign w:val="center"/>
          </w:tcPr>
          <w:p>
            <w:pPr>
              <w:pStyle w:val="178"/>
              <w:rPr>
                <w:b/>
              </w:rPr>
            </w:pPr>
            <w:r>
              <w:rPr>
                <w:rFonts w:hint="eastAsia"/>
                <w:b/>
              </w:rPr>
              <w:t>数据类型</w:t>
            </w:r>
          </w:p>
        </w:tc>
        <w:tc>
          <w:tcPr>
            <w:tcW w:w="5245" w:type="dxa"/>
            <w:tcBorders>
              <w:top w:val="single" w:color="auto" w:sz="8" w:space="0"/>
              <w:bottom w:val="single" w:color="auto" w:sz="8" w:space="0"/>
            </w:tcBorders>
            <w:shd w:val="clear" w:color="auto" w:fill="auto"/>
            <w:vAlign w:val="center"/>
          </w:tcPr>
          <w:p>
            <w:pPr>
              <w:pStyle w:val="178"/>
              <w:rPr>
                <w:b/>
              </w:rPr>
            </w:pPr>
            <w:r>
              <w:rPr>
                <w:rFonts w:hint="eastAsia"/>
                <w:b/>
              </w:rPr>
              <w:t>描述</w:t>
            </w:r>
          </w:p>
        </w:tc>
        <w:tc>
          <w:tcPr>
            <w:tcW w:w="1709" w:type="dxa"/>
            <w:tcBorders>
              <w:top w:val="single" w:color="auto" w:sz="8" w:space="0"/>
              <w:bottom w:val="single" w:color="auto" w:sz="8" w:space="0"/>
            </w:tcBorders>
            <w:shd w:val="clear" w:color="auto" w:fill="auto"/>
            <w:vAlign w:val="center"/>
          </w:tcPr>
          <w:p>
            <w:pPr>
              <w:pStyle w:val="178"/>
              <w:rPr>
                <w:b/>
              </w:rPr>
            </w:pPr>
            <w:r>
              <w:rPr>
                <w:rFonts w:hint="eastAsia"/>
                <w:b/>
              </w:rPr>
              <w:t>优先级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20" w:type="dxa"/>
            <w:tcBorders>
              <w:top w:val="single" w:color="auto" w:sz="8" w:space="0"/>
            </w:tcBorders>
            <w:shd w:val="clear" w:color="auto" w:fill="auto"/>
            <w:vAlign w:val="center"/>
          </w:tcPr>
          <w:p>
            <w:pPr>
              <w:pStyle w:val="178"/>
            </w:pPr>
            <w:r>
              <w:rPr>
                <w:rFonts w:hint="eastAsia"/>
              </w:rPr>
              <w:t>排放因子实测值或测算值</w:t>
            </w:r>
          </w:p>
        </w:tc>
        <w:tc>
          <w:tcPr>
            <w:tcW w:w="5245" w:type="dxa"/>
            <w:tcBorders>
              <w:top w:val="single" w:color="auto" w:sz="8" w:space="0"/>
            </w:tcBorders>
            <w:shd w:val="clear" w:color="auto" w:fill="auto"/>
            <w:vAlign w:val="center"/>
          </w:tcPr>
          <w:p>
            <w:pPr>
              <w:pStyle w:val="178"/>
            </w:pPr>
            <w:r>
              <w:rPr>
                <w:rFonts w:hint="eastAsia"/>
              </w:rPr>
              <w:t>通过污染场地内的直接测量、能量平衡或物料平衡等方法得到的排放因子或相关参数值</w:t>
            </w:r>
          </w:p>
        </w:tc>
        <w:tc>
          <w:tcPr>
            <w:tcW w:w="1709" w:type="dxa"/>
            <w:tcBorders>
              <w:top w:val="single" w:color="auto" w:sz="8" w:space="0"/>
            </w:tcBorders>
            <w:shd w:val="clear" w:color="auto" w:fill="auto"/>
            <w:vAlign w:val="center"/>
          </w:tcPr>
          <w:p>
            <w:pPr>
              <w:pStyle w:val="178"/>
            </w:pPr>
            <w:r>
              <w:rPr>
                <w:rFonts w:hint="eastAsia"/>
              </w:rPr>
              <w:t>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420" w:type="dxa"/>
            <w:shd w:val="clear" w:color="auto" w:fill="auto"/>
            <w:vAlign w:val="center"/>
          </w:tcPr>
          <w:p>
            <w:pPr>
              <w:pStyle w:val="178"/>
            </w:pPr>
            <w:r>
              <w:rPr>
                <w:rFonts w:hint="eastAsia"/>
              </w:rPr>
              <w:t>排放因子参考值</w:t>
            </w:r>
          </w:p>
        </w:tc>
        <w:tc>
          <w:tcPr>
            <w:tcW w:w="5245" w:type="dxa"/>
            <w:shd w:val="clear" w:color="auto" w:fill="auto"/>
            <w:vAlign w:val="center"/>
          </w:tcPr>
          <w:p>
            <w:pPr>
              <w:pStyle w:val="178"/>
            </w:pPr>
            <w:r>
              <w:rPr>
                <w:rFonts w:hint="eastAsia"/>
              </w:rPr>
              <w:t>采用相关指南或文件中提供的排放因子</w:t>
            </w:r>
          </w:p>
        </w:tc>
        <w:tc>
          <w:tcPr>
            <w:tcW w:w="1709" w:type="dxa"/>
            <w:shd w:val="clear" w:color="auto" w:fill="auto"/>
            <w:vAlign w:val="center"/>
          </w:tcPr>
          <w:p>
            <w:pPr>
              <w:pStyle w:val="178"/>
            </w:pPr>
            <w:r>
              <w:rPr>
                <w:rFonts w:hint="eastAsia"/>
              </w:rPr>
              <w:t>低</w:t>
            </w:r>
          </w:p>
        </w:tc>
      </w:tr>
    </w:tbl>
    <w:p>
      <w:pPr>
        <w:pStyle w:val="105"/>
        <w:spacing w:before="120" w:after="120"/>
      </w:pPr>
      <w:bookmarkStart w:id="128" w:name="_Toc175236083"/>
      <w:bookmarkStart w:id="129" w:name="_Toc175300930"/>
      <w:bookmarkStart w:id="130" w:name="_Toc175230607"/>
      <w:bookmarkStart w:id="131" w:name="_Toc175232930"/>
      <w:bookmarkStart w:id="132" w:name="_Toc175234621"/>
      <w:bookmarkStart w:id="133" w:name="_Toc175236191"/>
      <w:bookmarkStart w:id="134" w:name="_Toc175236211"/>
      <w:bookmarkStart w:id="135" w:name="_Toc175297727"/>
      <w:r>
        <w:rPr>
          <w:rFonts w:hint="eastAsia"/>
        </w:rPr>
        <w:t>计算碳排放量</w:t>
      </w:r>
      <w:bookmarkEnd w:id="128"/>
      <w:bookmarkEnd w:id="129"/>
      <w:bookmarkEnd w:id="130"/>
      <w:bookmarkEnd w:id="131"/>
      <w:bookmarkEnd w:id="132"/>
      <w:bookmarkEnd w:id="133"/>
      <w:bookmarkEnd w:id="134"/>
      <w:bookmarkEnd w:id="135"/>
    </w:p>
    <w:p>
      <w:pPr>
        <w:pStyle w:val="65"/>
        <w:spacing w:before="120" w:after="120"/>
      </w:pPr>
      <w:r>
        <w:rPr>
          <w:rFonts w:hint="eastAsia"/>
        </w:rPr>
        <w:t>概述</w:t>
      </w:r>
    </w:p>
    <w:p>
      <w:pPr>
        <w:pStyle w:val="56"/>
        <w:ind w:firstLine="420"/>
      </w:pPr>
      <w:r>
        <w:rPr>
          <w:rFonts w:hint="eastAsia"/>
        </w:rPr>
        <w:t>将重金属污染场地修复过程碳排放源归纳为材料消耗的碳排放、化石燃料消耗的碳排放和电力消耗的碳排放3个类别，各类碳排放之和即为修复过程总碳排放。</w:t>
      </w:r>
    </w:p>
    <w:p>
      <w:pPr>
        <w:pStyle w:val="65"/>
        <w:spacing w:before="120" w:after="120"/>
      </w:pPr>
      <w:r>
        <w:rPr>
          <w:rFonts w:hint="eastAsia"/>
        </w:rPr>
        <w:t>材料消耗的碳排放</w:t>
      </w:r>
    </w:p>
    <w:p>
      <w:pPr>
        <w:pStyle w:val="56"/>
        <w:ind w:firstLine="420"/>
      </w:pPr>
      <w:r>
        <w:rPr>
          <w:rFonts w:hint="eastAsia"/>
        </w:rPr>
        <w:t>材料消耗的碳排放指重金属污染场地修复过程使用到的设备耗材和药剂在生产过程的碳排放，如钢材、土壤固化剂等。该部分排放实际发生在材料生产企业控制的设施上，为间接碳排放，计算如式(2)所示。</w:t>
      </w:r>
    </w:p>
    <w:p>
      <w:pPr>
        <w:pStyle w:val="113"/>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m</m:t>
            </m:r>
            <m:ctrlPr>
              <w:rPr>
                <w:rFonts w:ascii="Cambria Math" w:hAnsi="Cambria Math"/>
              </w:rPr>
            </m:ctrlPr>
          </m:sub>
        </m:sSub>
        <m:r>
          <m:rPr/>
          <w:rPr>
            <w:rFonts w:ascii="Cambria Math" w:hAnsi="Cambria Math"/>
          </w:rPr>
          <m:t>=</m:t>
        </m:r>
        <m:nary>
          <m:naryPr>
            <m:chr m:val="∑"/>
            <m:limLoc m:val="undOvr"/>
            <m:supHide m:val="1"/>
            <m:ctrlPr>
              <w:rPr>
                <w:rFonts w:ascii="Cambria Math" w:hAnsi="Cambria Math"/>
              </w:rPr>
            </m:ctrlPr>
          </m:naryPr>
          <m:sub>
            <m:r>
              <m:rPr/>
              <w:rPr>
                <w:rFonts w:ascii="Cambria Math" w:hAnsi="Cambria Math"/>
              </w:rPr>
              <m:t>i</m:t>
            </m:r>
            <m:ctrlPr>
              <w:rPr>
                <w:rFonts w:ascii="Cambria Math" w:hAnsi="Cambria Math"/>
              </w:rPr>
            </m:ctrlPr>
          </m:sub>
          <m:sup>
            <m:ctrlPr>
              <w:rPr>
                <w:rFonts w:ascii="Cambria Math" w:hAnsi="Cambria Math"/>
              </w:rPr>
            </m:ctrlPr>
          </m:sup>
          <m:e>
            <m:r>
              <m:rPr>
                <m:sty m:val="p"/>
              </m:rPr>
              <w:rPr>
                <w:rFonts w:ascii="Cambria Math" w:hAnsi="Cambria Math"/>
              </w:rPr>
              <m:t>（e</m:t>
            </m:r>
            <m:sSub>
              <m:sSubPr>
                <m:ctrlPr>
                  <w:rPr>
                    <w:rFonts w:ascii="Cambria Math" w:hAnsi="Cambria Math"/>
                  </w:rPr>
                </m:ctrlPr>
              </m:sSubPr>
              <m:e>
                <m:r>
                  <m:rPr/>
                  <w:rPr>
                    <w:rFonts w:ascii="Cambria Math" w:hAnsi="Cambria Math"/>
                  </w:rPr>
                  <m:t>f</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q</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ctrlPr>
              <w:rPr>
                <w:rFonts w:ascii="Cambria Math" w:hAnsi="Cambria Math"/>
              </w:rPr>
            </m:ctrlPr>
          </m:e>
        </m:nary>
      </m:oMath>
      <w:r>
        <w:rPr>
          <w:rFonts w:asci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5"/>
        <w:ind w:firstLine="420"/>
      </w:pPr>
      <w:r>
        <w:rPr>
          <w:rFonts w:hint="eastAsia"/>
        </w:rPr>
        <w:t>E</w:t>
      </w:r>
      <w:r>
        <w:rPr>
          <w:rFonts w:hint="eastAsia"/>
          <w:vertAlign w:val="subscript"/>
        </w:rPr>
        <w:t>m</w:t>
      </w:r>
      <w:r>
        <w:rPr>
          <w:rFonts w:hint="eastAsia"/>
        </w:rPr>
        <w:t>——材料消耗的碳排放；</w:t>
      </w:r>
    </w:p>
    <w:p>
      <w:pPr>
        <w:pStyle w:val="56"/>
        <w:ind w:firstLine="420"/>
      </w:pPr>
      <w:r>
        <w:rPr>
          <w:rFonts w:hint="eastAsia"/>
        </w:rPr>
        <w:t>i——材料类别；</w:t>
      </w:r>
    </w:p>
    <w:p>
      <w:pPr>
        <w:pStyle w:val="56"/>
        <w:ind w:firstLine="420"/>
      </w:pPr>
      <w:r>
        <w:rPr>
          <w:rFonts w:hint="eastAsia"/>
        </w:rPr>
        <w:t>ef</w:t>
      </w:r>
      <w:r>
        <w:rPr>
          <w:rFonts w:hint="eastAsia"/>
          <w:vertAlign w:val="subscript"/>
        </w:rPr>
        <w:t>i</w:t>
      </w:r>
      <w:r>
        <w:rPr>
          <w:rFonts w:hint="eastAsia"/>
        </w:rPr>
        <w:t>——材料i的排放因子；</w:t>
      </w:r>
    </w:p>
    <w:p>
      <w:pPr>
        <w:pStyle w:val="56"/>
        <w:ind w:firstLine="420"/>
      </w:pPr>
      <w:r>
        <w:rPr>
          <w:rFonts w:hint="eastAsia"/>
        </w:rPr>
        <w:t>q</w:t>
      </w:r>
      <w:r>
        <w:rPr>
          <w:rFonts w:hint="eastAsia"/>
          <w:vertAlign w:val="subscript"/>
        </w:rPr>
        <w:t>i</w:t>
      </w:r>
      <w:r>
        <w:rPr>
          <w:rFonts w:hint="eastAsia"/>
        </w:rPr>
        <w:t>——材料i的消耗量。</w:t>
      </w:r>
    </w:p>
    <w:p>
      <w:pPr>
        <w:pStyle w:val="65"/>
        <w:spacing w:before="120" w:after="120"/>
      </w:pPr>
      <w:r>
        <w:rPr>
          <w:rFonts w:hint="eastAsia"/>
        </w:rPr>
        <w:t>化石燃料消耗的碳排放</w:t>
      </w:r>
    </w:p>
    <w:p>
      <w:pPr>
        <w:pStyle w:val="56"/>
        <w:ind w:firstLine="420"/>
      </w:pPr>
      <w:r>
        <w:rPr>
          <w:rFonts w:hint="eastAsia"/>
        </w:rPr>
        <w:t>化石燃料消耗的碳排放指重金属污染场地修复过程土壤开挖、运输、破碎、筛分等设备运行过程燃烧的化石燃料，包括发生在污染土壤修复现场的直接碳排放和化石燃料生产运输过程产生的间接碳排放，计算如式(3)所示。不同燃料的净热值、单位热值含碳量和燃料碳氧化率推荐值见附录B。</w:t>
      </w:r>
    </w:p>
    <w:p>
      <w:pPr>
        <w:pStyle w:val="113"/>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n</m:t>
            </m:r>
            <m:ctrlPr>
              <w:rPr>
                <w:rFonts w:ascii="Cambria Math" w:hAnsi="Cambria Math"/>
              </w:rPr>
            </m:ctrlPr>
          </m:sub>
        </m:sSub>
        <m:r>
          <m:rPr/>
          <w:rPr>
            <w:rFonts w:ascii="Cambria Math" w:hAnsi="Cambria Math"/>
          </w:rPr>
          <m:t>=</m:t>
        </m:r>
        <m:nary>
          <m:naryPr>
            <m:chr m:val="∑"/>
            <m:limLoc m:val="undOvr"/>
            <m:supHide m:val="1"/>
            <m:ctrlPr>
              <w:rPr>
                <w:rFonts w:ascii="Cambria Math" w:hAnsi="Cambria Math"/>
              </w:rPr>
            </m:ctrlPr>
          </m:naryPr>
          <m:sub>
            <m:r>
              <m:rPr/>
              <w:rPr>
                <w:rFonts w:ascii="Cambria Math" w:hAnsi="Cambria Math"/>
              </w:rPr>
              <m:t>r</m:t>
            </m:r>
            <m:ctrlPr>
              <w:rPr>
                <w:rFonts w:ascii="Cambria Math" w:hAnsi="Cambria Math"/>
              </w:rPr>
            </m:ctrlPr>
          </m:sub>
          <m:sup>
            <m:ctrlPr>
              <w:rPr>
                <w:rFonts w:ascii="Cambria Math" w:hAnsi="Cambria Math"/>
              </w:rPr>
            </m:ctrlPr>
          </m:sup>
          <m:e>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ef</m:t>
                    </m:r>
                    <m:ctrlPr>
                      <w:rPr>
                        <w:rFonts w:ascii="Cambria Math" w:hAnsi="Cambria Math"/>
                      </w:rPr>
                    </m:ctrlPr>
                  </m:e>
                  <m:sub>
                    <m:r>
                      <m:rPr/>
                      <w:rPr>
                        <w:rFonts w:ascii="Cambria Math" w:hAnsi="Cambria Math"/>
                      </w:rPr>
                      <m:t>d</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d</m:t>
                    </m:r>
                    <m:ctrlPr>
                      <w:rPr>
                        <w:rFonts w:ascii="Cambria Math" w:hAnsi="Cambria Math"/>
                      </w:rPr>
                    </m:ctrlPr>
                  </m:sub>
                </m:sSub>
                <m:ctrlPr>
                  <w:rPr>
                    <w:rFonts w:ascii="Cambria Math" w:hAnsi="Cambria Math"/>
                  </w:rPr>
                </m:ctrlPr>
              </m:e>
            </m:d>
            <m:r>
              <m:rPr>
                <m:sty m:val="p"/>
              </m:rPr>
              <w:rPr>
                <w:rFonts w:ascii="Cambria Math" w:hAnsi="Cambria Math"/>
              </w:rPr>
              <m:t>+</m:t>
            </m:r>
            <m:nary>
              <m:naryPr>
                <m:chr m:val="∑"/>
                <m:limLoc m:val="undOvr"/>
                <m:supHide m:val="1"/>
                <m:ctrlPr>
                  <w:rPr>
                    <w:rFonts w:ascii="Cambria Math" w:hAnsi="Cambria Math"/>
                  </w:rPr>
                </m:ctrlPr>
              </m:naryPr>
              <m:sub>
                <m:r>
                  <m:rPr/>
                  <w:rPr>
                    <w:rFonts w:ascii="Cambria Math" w:hAnsi="Cambria Math"/>
                  </w:rPr>
                  <m:t>r</m:t>
                </m:r>
                <m:ctrlPr>
                  <w:rPr>
                    <w:rFonts w:ascii="Cambria Math" w:hAnsi="Cambria Math"/>
                  </w:rPr>
                </m:ctrlPr>
              </m:sub>
              <m:sup>
                <m:ctrlPr>
                  <w:rPr>
                    <w:rFonts w:ascii="Cambria Math" w:hAnsi="Cambria Math"/>
                  </w:rPr>
                </m:ctrlPr>
              </m:sup>
              <m:e>
                <m:r>
                  <m:rPr>
                    <m:sty m:val="p"/>
                  </m:rPr>
                  <w:rPr>
                    <w:rFonts w:ascii="Cambria Math" w:hAnsi="Cambria Math"/>
                  </w:rPr>
                  <m:t>（</m:t>
                </m:r>
                <m:sSub>
                  <m:sSubPr>
                    <m:ctrlPr>
                      <w:rPr>
                        <w:rFonts w:ascii="Cambria Math" w:hAnsi="Cambria Math"/>
                      </w:rPr>
                    </m:ctrlPr>
                  </m:sSubPr>
                  <m:e>
                    <m:r>
                      <m:rPr>
                        <m:sty m:val="p"/>
                      </m:rPr>
                      <w:rPr>
                        <w:rFonts w:ascii="Cambria Math" w:hAnsi="Cambria Math"/>
                      </w:rPr>
                      <m:t>ef</m:t>
                    </m:r>
                    <m:ctrlPr>
                      <w:rPr>
                        <w:rFonts w:ascii="Cambria Math" w:hAnsi="Cambria Math"/>
                      </w:rPr>
                    </m:ctrlPr>
                  </m:e>
                  <m:sub>
                    <m:r>
                      <m:rPr>
                        <m:sty m:val="p"/>
                      </m:rPr>
                      <w:rPr>
                        <w:rFonts w:ascii="Cambria Math" w:hAnsi="Cambria Math"/>
                      </w:rPr>
                      <m:t>in</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v</m:t>
                    </m:r>
                    <m:ctrlPr>
                      <w:rPr>
                        <w:rFonts w:ascii="Cambria Math" w:hAnsi="Cambria Math"/>
                      </w:rPr>
                    </m:ctrlPr>
                  </m:e>
                  <m:sub>
                    <m:r>
                      <m:rPr/>
                      <w:rPr>
                        <w:rFonts w:ascii="Cambria Math" w:hAnsi="Cambria Math"/>
                      </w:rPr>
                      <m:t>d</m:t>
                    </m:r>
                    <m:ctrlPr>
                      <w:rPr>
                        <w:rFonts w:ascii="Cambria Math" w:hAnsi="Cambria Math"/>
                      </w:rPr>
                    </m:ctrlPr>
                  </m:sub>
                </m:sSub>
                <m:r>
                  <m:rPr>
                    <m:sty m:val="p"/>
                  </m:rPr>
                  <w:rPr>
                    <w:rFonts w:ascii="Cambria Math" w:hAnsi="Cambria Math"/>
                  </w:rPr>
                  <m:t>）</m:t>
                </m:r>
                <m:ctrlPr>
                  <w:rPr>
                    <w:rFonts w:ascii="Cambria Math" w:hAnsi="Cambria Math"/>
                  </w:rPr>
                </m:ctrlPr>
              </m:e>
            </m:nary>
            <m:ctrlPr>
              <w:rPr>
                <w:rFonts w:ascii="Cambria Math" w:hAnsi="Cambria Math"/>
              </w:rPr>
            </m:ctrlPr>
          </m:e>
        </m:nary>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5"/>
        <w:ind w:firstLine="420"/>
      </w:pPr>
      <w:r>
        <w:rPr>
          <w:rFonts w:hint="eastAsia"/>
        </w:rPr>
        <w:t>E</w:t>
      </w:r>
      <w:r>
        <w:rPr>
          <w:rFonts w:hint="eastAsia"/>
          <w:vertAlign w:val="subscript"/>
        </w:rPr>
        <w:t>n</w:t>
      </w:r>
      <w:r>
        <w:rPr>
          <w:rFonts w:hint="eastAsia"/>
        </w:rPr>
        <w:t>——化石燃料消耗的碳排放；</w:t>
      </w:r>
    </w:p>
    <w:p>
      <w:pPr>
        <w:pStyle w:val="56"/>
        <w:ind w:firstLine="420"/>
      </w:pPr>
      <w:r>
        <w:rPr>
          <w:rFonts w:hint="eastAsia"/>
        </w:rPr>
        <w:t>r——燃料类别；</w:t>
      </w:r>
    </w:p>
    <w:p>
      <w:pPr>
        <w:pStyle w:val="56"/>
        <w:ind w:firstLine="420"/>
      </w:pPr>
      <w:r>
        <w:rPr>
          <w:rFonts w:hint="eastAsia"/>
        </w:rPr>
        <w:t>ef</w:t>
      </w:r>
      <w:r>
        <w:rPr>
          <w:rFonts w:hint="eastAsia"/>
          <w:vertAlign w:val="subscript"/>
        </w:rPr>
        <w:t>d</w:t>
      </w:r>
      <w:r>
        <w:rPr>
          <w:rFonts w:hint="eastAsia"/>
        </w:rPr>
        <w:t>——燃料r的直接碳排放因子；</w:t>
      </w:r>
    </w:p>
    <w:p>
      <w:pPr>
        <w:pStyle w:val="56"/>
        <w:ind w:firstLine="420"/>
      </w:pPr>
      <w:r>
        <w:rPr>
          <w:rFonts w:hint="eastAsia"/>
        </w:rPr>
        <w:t>ef</w:t>
      </w:r>
      <w:r>
        <w:rPr>
          <w:rFonts w:hint="eastAsia"/>
          <w:vertAlign w:val="subscript"/>
        </w:rPr>
        <w:t>in</w:t>
      </w:r>
      <w:r>
        <w:rPr>
          <w:rFonts w:hint="eastAsia"/>
        </w:rPr>
        <w:t>——燃料r的间接碳排放因子；</w:t>
      </w:r>
    </w:p>
    <w:p>
      <w:pPr>
        <w:pStyle w:val="56"/>
        <w:ind w:firstLine="420"/>
      </w:pPr>
      <w:r>
        <w:rPr>
          <w:rFonts w:hint="eastAsia"/>
        </w:rPr>
        <w:t>V</w:t>
      </w:r>
      <w:r>
        <w:rPr>
          <w:rFonts w:hint="eastAsia"/>
          <w:vertAlign w:val="subscript"/>
        </w:rPr>
        <w:t>d</w:t>
      </w:r>
      <w:r>
        <w:rPr>
          <w:rFonts w:hint="eastAsia"/>
        </w:rPr>
        <w:t>——燃料r的消耗量。</w:t>
      </w:r>
    </w:p>
    <w:p>
      <w:pPr>
        <w:pStyle w:val="65"/>
        <w:spacing w:before="120" w:after="120"/>
      </w:pPr>
      <w:r>
        <w:rPr>
          <w:rFonts w:hint="eastAsia"/>
        </w:rPr>
        <w:t>电力消耗的碳排放</w:t>
      </w:r>
    </w:p>
    <w:p>
      <w:pPr>
        <w:pStyle w:val="56"/>
        <w:ind w:firstLine="420"/>
      </w:pPr>
      <w:r>
        <w:rPr>
          <w:rFonts w:hint="eastAsia"/>
        </w:rPr>
        <w:t>电力消耗的碳排放指重金属污染场地修复过程用电设备消耗电力蕴含的CO</w:t>
      </w:r>
      <w:r>
        <w:rPr>
          <w:rFonts w:hint="eastAsia"/>
          <w:vertAlign w:val="subscript"/>
        </w:rPr>
        <w:t>2</w:t>
      </w:r>
      <w:r>
        <w:rPr>
          <w:rFonts w:hint="eastAsia"/>
        </w:rPr>
        <w:t>排放，该部分排放实际发生在电力企业控制的设施上，为间接碳排放，计算如式(4)所示。</w:t>
      </w:r>
    </w:p>
    <w:p>
      <w:pPr>
        <w:pStyle w:val="113"/>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P</m:t>
            </m:r>
            <m:ctrlPr>
              <w:rPr>
                <w:rFonts w:ascii="Cambria Math" w:hAnsi="Cambria Math"/>
              </w:rPr>
            </m:ctrlPr>
          </m:sub>
        </m:sSub>
        <m:r>
          <m:rPr/>
          <w:rPr>
            <w:rFonts w:ascii="Cambria Math" w:hAnsi="Cambria Math"/>
          </w:rPr>
          <m:t>=</m:t>
        </m:r>
        <m:nary>
          <m:naryPr>
            <m:chr m:val="∑"/>
            <m:limLoc m:val="undOvr"/>
            <m:supHide m:val="1"/>
            <m:ctrlPr>
              <w:rPr>
                <w:rFonts w:ascii="Cambria Math" w:hAnsi="Cambria Math"/>
                <w:i/>
              </w:rPr>
            </m:ctrlPr>
          </m:naryPr>
          <m:sub>
            <m:r>
              <m:rPr/>
              <w:rPr>
                <w:rFonts w:ascii="Cambria Math" w:hAnsi="Cambria Math"/>
              </w:rPr>
              <m:t>t</m:t>
            </m:r>
            <m:ctrlPr>
              <w:rPr>
                <w:rFonts w:ascii="Cambria Math" w:hAnsi="Cambria Math"/>
                <w:i/>
              </w:rPr>
            </m:ctrlPr>
          </m:sub>
          <m:sup>
            <m:ctrlPr>
              <w:rPr>
                <w:rFonts w:ascii="Cambria Math" w:hAnsi="Cambria Math"/>
                <w:i/>
              </w:rPr>
            </m:ctrlPr>
          </m:sup>
          <m:e>
            <m:r>
              <m:rPr/>
              <w:rPr>
                <w:rFonts w:ascii="Cambria Math" w:hAnsi="Cambria Math"/>
              </w:rPr>
              <m:t>(</m:t>
            </m:r>
            <m:sSub>
              <m:sSubPr>
                <m:ctrlPr>
                  <w:rPr>
                    <w:rFonts w:ascii="Cambria Math" w:hAnsi="Cambria Math"/>
                    <w:i/>
                  </w:rPr>
                </m:ctrlPr>
              </m:sSubPr>
              <m:e>
                <m:r>
                  <m:rPr/>
                  <w:rPr>
                    <w:rFonts w:ascii="Cambria Math" w:hAnsi="Cambria Math"/>
                  </w:rPr>
                  <m:t>ef</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t</m:t>
                </m:r>
                <m:ctrlPr>
                  <w:rPr>
                    <w:rFonts w:ascii="Cambria Math" w:hAnsi="Cambria Math"/>
                    <w:i/>
                  </w:rPr>
                </m:ctrlPr>
              </m:sub>
            </m:sSub>
            <m:r>
              <m:rPr/>
              <w:rPr>
                <w:rFonts w:ascii="Cambria Math" w:hAnsi="Cambria Math"/>
              </w:rPr>
              <m:t>)</m:t>
            </m:r>
            <m:ctrlPr>
              <w:rPr>
                <w:rFonts w:ascii="Cambria Math" w:hAnsi="Cambria Math"/>
                <w:i/>
              </w:rPr>
            </m:ctrlPr>
          </m:e>
        </m:nary>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5"/>
        <w:ind w:firstLine="420"/>
      </w:pPr>
      <w:r>
        <w:rPr>
          <w:rFonts w:hint="eastAsia"/>
        </w:rPr>
        <w:t>E</w:t>
      </w:r>
      <w:r>
        <w:rPr>
          <w:rFonts w:hint="eastAsia"/>
          <w:vertAlign w:val="subscript"/>
        </w:rPr>
        <w:t>p</w:t>
      </w:r>
      <w:r>
        <w:rPr>
          <w:rFonts w:hint="eastAsia"/>
        </w:rPr>
        <w:t>——电力消耗的碳排放；</w:t>
      </w:r>
    </w:p>
    <w:p>
      <w:pPr>
        <w:pStyle w:val="56"/>
        <w:ind w:firstLine="420"/>
      </w:pPr>
      <w:r>
        <w:rPr>
          <w:rFonts w:hint="eastAsia"/>
        </w:rPr>
        <w:t>t——耗电设备类别；</w:t>
      </w:r>
    </w:p>
    <w:p>
      <w:pPr>
        <w:pStyle w:val="56"/>
        <w:ind w:firstLine="420"/>
      </w:pPr>
      <w:r>
        <w:rPr>
          <w:rFonts w:hint="eastAsia"/>
        </w:rPr>
        <w:t>ef</w:t>
      </w:r>
      <w:r>
        <w:rPr>
          <w:rFonts w:hint="eastAsia"/>
          <w:vertAlign w:val="subscript"/>
        </w:rPr>
        <w:t>p</w:t>
      </w:r>
      <w:r>
        <w:rPr>
          <w:rFonts w:hint="eastAsia"/>
        </w:rPr>
        <w:t>——处理设备用电的区域电网碳排放因子；</w:t>
      </w:r>
    </w:p>
    <w:p>
      <w:pPr>
        <w:pStyle w:val="56"/>
        <w:ind w:firstLine="420"/>
      </w:pPr>
      <w:r>
        <w:rPr>
          <w:rFonts w:hint="eastAsia"/>
        </w:rPr>
        <w:t>u</w:t>
      </w:r>
      <w:r>
        <w:rPr>
          <w:rFonts w:hint="eastAsia"/>
          <w:vertAlign w:val="subscript"/>
        </w:rPr>
        <w:t>t</w:t>
      </w:r>
      <w:r>
        <w:rPr>
          <w:rFonts w:hint="eastAsia"/>
        </w:rPr>
        <w:t>——设备t的耗电量。</w:t>
      </w:r>
    </w:p>
    <w:p>
      <w:pPr>
        <w:pStyle w:val="65"/>
        <w:spacing w:before="120" w:after="120"/>
      </w:pPr>
      <w:r>
        <w:rPr>
          <w:rFonts w:hint="eastAsia"/>
        </w:rPr>
        <w:t>污染场地修复总碳排放</w:t>
      </w:r>
    </w:p>
    <w:p>
      <w:pPr>
        <w:pStyle w:val="56"/>
        <w:ind w:firstLine="420"/>
      </w:pPr>
      <w:r>
        <w:rPr>
          <w:rFonts w:hint="eastAsia"/>
        </w:rPr>
        <w:t>将材料碳排放、燃料碳排放和电力碳排放累加即为污染场地修复总碳排放，计算如式(5)所示。</w:t>
      </w:r>
    </w:p>
    <w:p>
      <w:pPr>
        <w:pStyle w:val="113"/>
      </w:pPr>
      <w:r>
        <w:tab/>
      </w:r>
      <m:oMath>
        <m:sSub>
          <m:sSubPr>
            <m:ctrlPr>
              <w:rPr>
                <w:rFonts w:ascii="Cambria Math" w:hAnsi="Cambria Math"/>
              </w:rPr>
            </m:ctrlPr>
          </m:sSubPr>
          <m:e>
            <m:r>
              <m:rPr/>
              <w:rPr>
                <w:rFonts w:ascii="Cambria Math" w:hAnsi="Cambria Math"/>
              </w:rPr>
              <m:t>E</m:t>
            </m:r>
            <m:ctrlPr>
              <w:rPr>
                <w:rFonts w:ascii="Cambria Math" w:hAnsi="Cambria Math"/>
              </w:rPr>
            </m:ctrlPr>
          </m:e>
          <m:sub>
            <m:r>
              <m:rPr>
                <m:sty m:val="p"/>
              </m:rPr>
              <w:rPr>
                <w:rFonts w:ascii="Cambria Math" w:hAnsi="Cambria Math"/>
              </w:rPr>
              <m:t>tot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m</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E</m:t>
            </m:r>
            <m:ctrlPr>
              <w:rPr>
                <w:rFonts w:ascii="Cambria Math" w:hAnsi="Cambria Math"/>
              </w:rPr>
            </m:ctrlPr>
          </m:e>
          <m:sub>
            <m:r>
              <m:rPr/>
              <w:rPr>
                <w:rFonts w:ascii="Cambria Math" w:hAnsi="Cambria Math"/>
              </w:rPr>
              <m:t>p</m:t>
            </m:r>
            <m:ctrlPr>
              <w:rPr>
                <w:rFonts w:ascii="Cambria Math" w:hAnsi="Cambria Math"/>
              </w:rPr>
            </m:ctrlPr>
          </m:sub>
        </m:sSub>
      </m:oMath>
      <w:r>
        <w:rPr>
          <w:rFonts w:ascii="微软雅黑" w:hAnsi="微软雅黑" w:eastAsia="微软雅黑"/>
        </w:rPr>
        <w:tab/>
      </w:r>
      <w:r>
        <w:t>(</w:t>
      </w:r>
      <w:r>
        <w:fldChar w:fldCharType="begin"/>
      </w:r>
      <w:r>
        <w:instrText xml:space="preserve"> AUTONUM </w:instrText>
      </w:r>
      <w:r>
        <w:fldChar w:fldCharType="end"/>
      </w:r>
      <w:r>
        <w:t>)</w:t>
      </w:r>
    </w:p>
    <w:p>
      <w:pPr>
        <w:pStyle w:val="55"/>
        <w:ind w:firstLine="420"/>
      </w:pPr>
      <w:r>
        <w:rPr>
          <w:rFonts w:hint="eastAsia"/>
        </w:rPr>
        <w:t>式中：</w:t>
      </w:r>
    </w:p>
    <w:p>
      <w:pPr>
        <w:pStyle w:val="55"/>
        <w:ind w:firstLine="420"/>
      </w:pPr>
      <w:r>
        <w:rPr>
          <w:rFonts w:hint="eastAsia"/>
        </w:rPr>
        <w:t>E</w:t>
      </w:r>
      <w:r>
        <w:rPr>
          <w:rFonts w:hint="eastAsia"/>
          <w:vertAlign w:val="subscript"/>
        </w:rPr>
        <w:t>tot</w:t>
      </w:r>
      <w:r>
        <w:rPr>
          <w:rFonts w:hint="eastAsia"/>
        </w:rPr>
        <w:t>——污染场地修复总碳排放；</w:t>
      </w:r>
    </w:p>
    <w:p>
      <w:pPr>
        <w:pStyle w:val="56"/>
        <w:ind w:firstLine="420"/>
      </w:pPr>
      <w:r>
        <w:rPr>
          <w:rFonts w:hint="eastAsia"/>
        </w:rPr>
        <w:t>Em——材料消耗的碳排放；</w:t>
      </w:r>
    </w:p>
    <w:p>
      <w:pPr>
        <w:pStyle w:val="56"/>
        <w:ind w:firstLine="420"/>
      </w:pPr>
      <w:r>
        <w:rPr>
          <w:rFonts w:hint="eastAsia"/>
        </w:rPr>
        <w:t>E</w:t>
      </w:r>
      <w:r>
        <w:rPr>
          <w:rFonts w:hint="eastAsia"/>
          <w:vertAlign w:val="subscript"/>
        </w:rPr>
        <w:t>n</w:t>
      </w:r>
      <w:r>
        <w:rPr>
          <w:rFonts w:hint="eastAsia"/>
        </w:rPr>
        <w:t>——化石燃料消耗的碳排放；</w:t>
      </w:r>
    </w:p>
    <w:p>
      <w:pPr>
        <w:pStyle w:val="56"/>
        <w:ind w:firstLine="420"/>
      </w:pPr>
      <w:r>
        <w:rPr>
          <w:rFonts w:hint="eastAsia"/>
        </w:rPr>
        <w:t>E</w:t>
      </w:r>
      <w:r>
        <w:rPr>
          <w:rFonts w:hint="eastAsia"/>
          <w:vertAlign w:val="subscript"/>
        </w:rPr>
        <w:t>p</w:t>
      </w:r>
      <w:r>
        <w:rPr>
          <w:rFonts w:hint="eastAsia"/>
        </w:rPr>
        <w:t>——电力消耗的碳排放。</w:t>
      </w:r>
    </w:p>
    <w:p>
      <w:pPr>
        <w:pStyle w:val="104"/>
        <w:spacing w:before="240" w:after="240"/>
      </w:pPr>
      <w:bookmarkStart w:id="136" w:name="_Toc175234622"/>
      <w:bookmarkStart w:id="137" w:name="_Toc175236084"/>
      <w:bookmarkStart w:id="138" w:name="_Toc175230608"/>
      <w:bookmarkStart w:id="139" w:name="_Toc175232931"/>
      <w:bookmarkStart w:id="140" w:name="_Toc175236192"/>
      <w:bookmarkStart w:id="141" w:name="_Toc175297728"/>
      <w:bookmarkStart w:id="142" w:name="_Toc175236212"/>
      <w:bookmarkStart w:id="143" w:name="_Toc175300931"/>
      <w:r>
        <w:rPr>
          <w:rFonts w:hint="eastAsia"/>
        </w:rPr>
        <w:t>核算工作质量保证</w:t>
      </w:r>
      <w:bookmarkEnd w:id="136"/>
      <w:bookmarkEnd w:id="137"/>
      <w:bookmarkEnd w:id="138"/>
      <w:bookmarkEnd w:id="139"/>
      <w:bookmarkEnd w:id="140"/>
      <w:bookmarkEnd w:id="141"/>
      <w:bookmarkEnd w:id="142"/>
      <w:bookmarkEnd w:id="143"/>
    </w:p>
    <w:p>
      <w:pPr>
        <w:pStyle w:val="162"/>
      </w:pPr>
      <w:r>
        <w:rPr>
          <w:rFonts w:hint="eastAsia"/>
        </w:rPr>
        <w:t>建立污染场地碳排放核算的规章制度，包括负责人员、工作流程和内容、工作周期和时间节点等。</w:t>
      </w:r>
    </w:p>
    <w:p>
      <w:pPr>
        <w:pStyle w:val="162"/>
      </w:pPr>
      <w:r>
        <w:rPr>
          <w:rFonts w:hint="eastAsia"/>
        </w:rPr>
        <w:t>建立碳排放源一览表，对于不同等级的排放源的活动数据和排放因子数据的获取提出相应的要求。</w:t>
      </w:r>
    </w:p>
    <w:p>
      <w:pPr>
        <w:pStyle w:val="162"/>
      </w:pPr>
      <w:r>
        <w:rPr>
          <w:rFonts w:hint="eastAsia"/>
        </w:rPr>
        <w:t>依照GB 17167对现有监测条件进行评估，不断提高自身监测能力，并制定相应的监测计划，包括对活动数据的监测和对化石燃料低位发热量等参数的监测；定期对计量器具、检测设备和在线监测仪表进行维护管理，并记录存档。</w:t>
      </w:r>
    </w:p>
    <w:p>
      <w:pPr>
        <w:pStyle w:val="162"/>
      </w:pPr>
      <w:r>
        <w:rPr>
          <w:rFonts w:hint="eastAsia"/>
        </w:rPr>
        <w:t>建立健全数据记录管理体系，包括数据来源、数据获取时间以及相关责任人等信息的记录管理。</w:t>
      </w:r>
    </w:p>
    <w:p>
      <w:pPr>
        <w:pStyle w:val="104"/>
        <w:spacing w:before="240" w:after="240"/>
      </w:pPr>
      <w:bookmarkStart w:id="144" w:name="_Toc175236085"/>
      <w:bookmarkStart w:id="145" w:name="_Toc175236193"/>
      <w:bookmarkStart w:id="146" w:name="_Toc175236213"/>
      <w:bookmarkStart w:id="147" w:name="_Toc175297729"/>
      <w:bookmarkStart w:id="148" w:name="_Toc175300932"/>
      <w:r>
        <w:rPr>
          <w:rFonts w:hint="eastAsia"/>
        </w:rPr>
        <w:t>碳排放报告</w:t>
      </w:r>
      <w:bookmarkEnd w:id="144"/>
      <w:bookmarkEnd w:id="145"/>
      <w:r>
        <w:rPr>
          <w:rFonts w:hint="eastAsia"/>
        </w:rPr>
        <w:t>撰写</w:t>
      </w:r>
      <w:bookmarkEnd w:id="146"/>
      <w:bookmarkEnd w:id="147"/>
      <w:bookmarkEnd w:id="148"/>
    </w:p>
    <w:p>
      <w:pPr>
        <w:pStyle w:val="56"/>
        <w:ind w:firstLine="420"/>
      </w:pPr>
      <w:r>
        <w:rPr>
          <w:rFonts w:hint="eastAsia"/>
        </w:rPr>
        <w:t>报告内容应包括报告主体基本信息、碳排放量、活动数据及其来源和排放因子及其来源：</w:t>
      </w:r>
    </w:p>
    <w:p>
      <w:pPr>
        <w:pStyle w:val="132"/>
      </w:pPr>
      <w:r>
        <w:rPr>
          <w:rFonts w:hint="eastAsia"/>
        </w:rPr>
        <w:t>报告主体基本信息应包括报告主体名称、单位性质、所属行业、统一社会信用代码、法定代表人、填报负责人和联系人信息等；</w:t>
      </w:r>
    </w:p>
    <w:p>
      <w:pPr>
        <w:pStyle w:val="132"/>
      </w:pPr>
      <w:r>
        <w:rPr>
          <w:rFonts w:hint="eastAsia"/>
        </w:rPr>
        <w:t>碳排放量包括重金属污染场地修复过程的碳排放总量,并分别报告材料消耗的碳排放、化石燃料消耗的碳排放和电力消耗的碳排放；</w:t>
      </w:r>
    </w:p>
    <w:p>
      <w:pPr>
        <w:pStyle w:val="132"/>
      </w:pPr>
      <w:r>
        <w:rPr>
          <w:rFonts w:hint="eastAsia"/>
        </w:rPr>
        <w:t>活动数据及其来源包括重金属污染场地修复过程使用的材料、化石燃料以及购入的电力等相关活动数据，并说明来源；</w:t>
      </w:r>
    </w:p>
    <w:p>
      <w:pPr>
        <w:pStyle w:val="132"/>
      </w:pPr>
      <w:r>
        <w:rPr>
          <w:rFonts w:hint="eastAsia"/>
        </w:rPr>
        <w:t>排放因子及其来源包括重金属污染场地修复过程使用的材料、化石燃料以及购入的电力等的排放因子，并说明来源。</w:t>
      </w:r>
    </w:p>
    <w:p>
      <w:pPr>
        <w:pStyle w:val="132"/>
        <w:numPr>
          <w:ilvl w:val="0"/>
          <w:numId w:val="0"/>
        </w:numPr>
        <w:ind w:left="851"/>
        <w:sectPr>
          <w:pgSz w:w="11906" w:h="16838"/>
          <w:pgMar w:top="567" w:right="1134" w:bottom="1134" w:left="1134" w:header="1418" w:footer="1134" w:gutter="284"/>
          <w:pgNumType w:start="1"/>
          <w:cols w:space="425" w:num="1"/>
          <w:formProt w:val="0"/>
          <w:docGrid w:linePitch="312" w:charSpace="0"/>
        </w:sectPr>
      </w:pPr>
    </w:p>
    <w:bookmarkEnd w:id="29"/>
    <w:p>
      <w:pPr>
        <w:pStyle w:val="198"/>
      </w:pPr>
      <w:bookmarkStart w:id="149" w:name="BookMark5"/>
    </w:p>
    <w:p>
      <w:pPr>
        <w:pStyle w:val="199"/>
      </w:pPr>
    </w:p>
    <w:p>
      <w:pPr>
        <w:pStyle w:val="76"/>
        <w:spacing w:before="60" w:after="120"/>
        <w:rPr>
          <w:rFonts w:hint="eastAsia"/>
        </w:rPr>
      </w:pPr>
      <w:r>
        <w:br w:type="textWrapping"/>
      </w:r>
      <w:bookmarkStart w:id="150" w:name="_Toc175297730"/>
      <w:bookmarkStart w:id="151" w:name="_Toc175300933"/>
      <w:r>
        <w:rPr>
          <w:rFonts w:hint="eastAsia"/>
        </w:rPr>
        <w:t>（资料性）</w:t>
      </w:r>
      <w:r>
        <w:br w:type="textWrapping"/>
      </w:r>
      <w:r>
        <w:rPr>
          <w:rFonts w:hint="eastAsia"/>
        </w:rPr>
        <w:t>重金属污染场地修复技术和主要修复过程</w:t>
      </w:r>
      <w:bookmarkEnd w:id="150"/>
      <w:bookmarkEnd w:id="151"/>
    </w:p>
    <w:p>
      <w:pPr>
        <w:pStyle w:val="56"/>
        <w:ind w:firstLine="420"/>
      </w:pPr>
      <w:r>
        <w:rPr>
          <w:rFonts w:hint="eastAsia"/>
        </w:rPr>
        <w:t>表A.1 给出了重金属污染场地修复技术和主要修复过程。</w:t>
      </w:r>
    </w:p>
    <w:p>
      <w:pPr>
        <w:pStyle w:val="77"/>
        <w:spacing w:before="120" w:after="120"/>
      </w:pPr>
      <w:r>
        <w:rPr>
          <w:rFonts w:hint="eastAsia"/>
        </w:rPr>
        <w:t>重金属污染场地修复技术和主要修复过程</w:t>
      </w:r>
    </w:p>
    <w:tbl>
      <w:tblPr>
        <w:tblStyle w:val="27"/>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4314"/>
        <w:gridCol w:w="50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2301" w:type="pct"/>
            <w:tcBorders>
              <w:top w:val="single" w:color="auto" w:sz="8" w:space="0"/>
              <w:bottom w:val="single" w:color="auto" w:sz="8" w:space="0"/>
            </w:tcBorders>
            <w:shd w:val="clear" w:color="auto" w:fill="auto"/>
            <w:vAlign w:val="center"/>
          </w:tcPr>
          <w:p>
            <w:pPr>
              <w:pStyle w:val="178"/>
              <w:rPr>
                <w:b/>
              </w:rPr>
            </w:pPr>
            <w:r>
              <w:rPr>
                <w:rFonts w:hint="eastAsia"/>
                <w:b/>
              </w:rPr>
              <w:t>修复技术</w:t>
            </w:r>
          </w:p>
        </w:tc>
        <w:tc>
          <w:tcPr>
            <w:tcW w:w="2699" w:type="pct"/>
            <w:tcBorders>
              <w:top w:val="single" w:color="auto" w:sz="8" w:space="0"/>
              <w:bottom w:val="single" w:color="auto" w:sz="8" w:space="0"/>
            </w:tcBorders>
            <w:shd w:val="clear" w:color="auto" w:fill="auto"/>
            <w:vAlign w:val="center"/>
          </w:tcPr>
          <w:p>
            <w:pPr>
              <w:pStyle w:val="178"/>
              <w:rPr>
                <w:b/>
              </w:rPr>
            </w:pPr>
            <w:r>
              <w:rPr>
                <w:rFonts w:hint="eastAsia"/>
                <w:b/>
              </w:rPr>
              <w:t>主要修复过程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restart"/>
            <w:tcBorders>
              <w:top w:val="single" w:color="auto" w:sz="8" w:space="0"/>
            </w:tcBorders>
            <w:shd w:val="clear" w:color="auto" w:fill="auto"/>
            <w:vAlign w:val="center"/>
          </w:tcPr>
          <w:p>
            <w:pPr>
              <w:pStyle w:val="178"/>
            </w:pPr>
            <w:r>
              <w:rPr>
                <w:rFonts w:hint="eastAsia"/>
              </w:rPr>
              <w:t>土壤淋洗技术</w:t>
            </w:r>
          </w:p>
        </w:tc>
        <w:tc>
          <w:tcPr>
            <w:tcW w:w="2699" w:type="pct"/>
            <w:tcBorders>
              <w:top w:val="single" w:color="auto" w:sz="8" w:space="0"/>
            </w:tcBorders>
            <w:shd w:val="clear" w:color="auto" w:fill="auto"/>
            <w:vAlign w:val="center"/>
          </w:tcPr>
          <w:p>
            <w:pPr>
              <w:pStyle w:val="178"/>
            </w:pPr>
            <w:r>
              <w:rPr>
                <w:rFonts w:hint="eastAsia"/>
              </w:rPr>
              <w:t>土壤清挖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pPr>
            <w:r>
              <w:rPr>
                <w:rFonts w:hint="eastAsia"/>
              </w:rPr>
              <w:t>污染土壤运输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pPr>
            <w:r>
              <w:rPr>
                <w:rFonts w:hint="eastAsia"/>
              </w:rPr>
              <w:t>土壤淋洗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pPr>
            <w:r>
              <w:rPr>
                <w:rFonts w:hint="eastAsia"/>
              </w:rPr>
              <w:t>水泥窑协同处置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pPr>
            <w:r>
              <w:rPr>
                <w:rFonts w:hint="eastAsia"/>
              </w:rPr>
              <w:t>污水处置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restart"/>
            <w:shd w:val="clear" w:color="auto" w:fill="auto"/>
            <w:vAlign w:val="center"/>
          </w:tcPr>
          <w:p>
            <w:pPr>
              <w:pStyle w:val="178"/>
            </w:pPr>
            <w:r>
              <w:rPr>
                <w:rFonts w:hint="eastAsia"/>
              </w:rPr>
              <w:t>固化/稳定化技术</w:t>
            </w:r>
          </w:p>
        </w:tc>
        <w:tc>
          <w:tcPr>
            <w:tcW w:w="2699" w:type="pct"/>
            <w:shd w:val="clear" w:color="auto" w:fill="auto"/>
            <w:vAlign w:val="center"/>
          </w:tcPr>
          <w:p>
            <w:pPr>
              <w:pStyle w:val="178"/>
            </w:pPr>
            <w:r>
              <w:rPr>
                <w:rFonts w:hint="eastAsia"/>
              </w:rPr>
              <w:t>土壤清挖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pPr>
            <w:r>
              <w:rPr>
                <w:rFonts w:hint="eastAsia"/>
              </w:rPr>
              <w:t>土壤暂存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pPr>
            <w:r>
              <w:rPr>
                <w:rFonts w:hint="eastAsia"/>
              </w:rPr>
              <w:t>预处理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pPr>
            <w:r>
              <w:rPr>
                <w:rFonts w:hint="eastAsia"/>
              </w:rPr>
              <w:t>固化稳定化处置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pPr>
            <w:r>
              <w:rPr>
                <w:rFonts w:hint="eastAsia"/>
              </w:rPr>
              <w:t>污水处置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restart"/>
            <w:shd w:val="clear" w:color="auto" w:fill="auto"/>
            <w:vAlign w:val="center"/>
          </w:tcPr>
          <w:p>
            <w:pPr>
              <w:pStyle w:val="178"/>
            </w:pPr>
            <w:r>
              <w:rPr>
                <w:rFonts w:hint="eastAsia"/>
              </w:rPr>
              <w:t>电动修复技术</w:t>
            </w:r>
          </w:p>
        </w:tc>
        <w:tc>
          <w:tcPr>
            <w:tcW w:w="2699" w:type="pct"/>
            <w:shd w:val="clear" w:color="auto" w:fill="auto"/>
            <w:vAlign w:val="center"/>
          </w:tcPr>
          <w:p>
            <w:pPr>
              <w:pStyle w:val="178"/>
              <w:rPr>
                <w:rFonts w:hint="eastAsia"/>
              </w:rPr>
            </w:pPr>
            <w:r>
              <w:rPr>
                <w:rFonts w:hint="eastAsia"/>
              </w:rPr>
              <w:t>预处理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rPr>
                <w:rFonts w:hint="eastAsia"/>
              </w:rPr>
            </w:pPr>
            <w:r>
              <w:rPr>
                <w:rFonts w:hint="eastAsia"/>
              </w:rPr>
              <w:t>安装调试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rPr>
                <w:rFonts w:hint="eastAsia"/>
              </w:rPr>
            </w:pPr>
            <w:r>
              <w:rPr>
                <w:rFonts w:hint="eastAsia"/>
              </w:rPr>
              <w:t>后续处理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restart"/>
            <w:shd w:val="clear" w:color="auto" w:fill="auto"/>
            <w:vAlign w:val="center"/>
          </w:tcPr>
          <w:p>
            <w:pPr>
              <w:pStyle w:val="178"/>
            </w:pPr>
            <w:r>
              <w:rPr>
                <w:rFonts w:hint="eastAsia"/>
              </w:rPr>
              <w:t>水泥窑协同处置</w:t>
            </w:r>
          </w:p>
        </w:tc>
        <w:tc>
          <w:tcPr>
            <w:tcW w:w="2699" w:type="pct"/>
            <w:shd w:val="clear" w:color="auto" w:fill="auto"/>
            <w:vAlign w:val="center"/>
          </w:tcPr>
          <w:p>
            <w:pPr>
              <w:pStyle w:val="178"/>
              <w:rPr>
                <w:rFonts w:hint="eastAsia"/>
              </w:rPr>
            </w:pPr>
            <w:r>
              <w:rPr>
                <w:rFonts w:hint="eastAsia"/>
              </w:rPr>
              <w:t>土壤清挖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rPr>
                <w:rFonts w:hint="eastAsia"/>
              </w:rPr>
            </w:pPr>
            <w:r>
              <w:rPr>
                <w:rFonts w:hint="eastAsia"/>
              </w:rPr>
              <w:t>水泥窑焚烧协同处置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rPr>
                <w:rFonts w:hint="eastAsia"/>
              </w:rPr>
            </w:pPr>
            <w:r>
              <w:rPr>
                <w:rFonts w:hint="eastAsia"/>
              </w:rPr>
              <w:t>废水处置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restart"/>
            <w:shd w:val="clear" w:color="auto" w:fill="auto"/>
            <w:vAlign w:val="center"/>
          </w:tcPr>
          <w:p>
            <w:pPr>
              <w:pStyle w:val="178"/>
            </w:pPr>
            <w:r>
              <w:rPr>
                <w:rFonts w:hint="eastAsia"/>
              </w:rPr>
              <w:t>原位化学还原技术</w:t>
            </w:r>
          </w:p>
        </w:tc>
        <w:tc>
          <w:tcPr>
            <w:tcW w:w="2699" w:type="pct"/>
            <w:shd w:val="clear" w:color="auto" w:fill="auto"/>
            <w:vAlign w:val="center"/>
          </w:tcPr>
          <w:p>
            <w:pPr>
              <w:pStyle w:val="178"/>
              <w:rPr>
                <w:rFonts w:hint="eastAsia"/>
              </w:rPr>
            </w:pPr>
            <w:r>
              <w:rPr>
                <w:rFonts w:hint="eastAsia"/>
              </w:rPr>
              <w:t>现场建设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rPr>
                <w:rFonts w:hint="eastAsia"/>
              </w:rPr>
            </w:pPr>
          </w:p>
        </w:tc>
        <w:tc>
          <w:tcPr>
            <w:tcW w:w="2699" w:type="pct"/>
            <w:shd w:val="clear" w:color="auto" w:fill="auto"/>
            <w:vAlign w:val="center"/>
          </w:tcPr>
          <w:p>
            <w:pPr>
              <w:pStyle w:val="178"/>
              <w:rPr>
                <w:rFonts w:hint="eastAsia"/>
              </w:rPr>
            </w:pPr>
            <w:r>
              <w:rPr>
                <w:rFonts w:hint="eastAsia"/>
              </w:rPr>
              <w:t>药剂注入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rPr>
                <w:rFonts w:hint="eastAsia"/>
              </w:rPr>
            </w:pPr>
            <w:r>
              <w:rPr>
                <w:rFonts w:hint="eastAsia"/>
              </w:rPr>
              <w:t>现场监测与调整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rPr>
                <w:rFonts w:hint="eastAsia"/>
              </w:rPr>
            </w:pPr>
            <w:r>
              <w:rPr>
                <w:rFonts w:hint="eastAsia"/>
              </w:rPr>
              <w:t>采样分析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rPr>
                <w:rFonts w:hint="eastAsia"/>
              </w:rPr>
            </w:pPr>
            <w:r>
              <w:rPr>
                <w:rFonts w:hint="eastAsia"/>
              </w:rPr>
              <w:t>后续处理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restart"/>
            <w:shd w:val="clear" w:color="auto" w:fill="auto"/>
            <w:vAlign w:val="center"/>
          </w:tcPr>
          <w:p>
            <w:pPr>
              <w:pStyle w:val="178"/>
            </w:pPr>
            <w:r>
              <w:rPr>
                <w:rFonts w:hint="eastAsia"/>
              </w:rPr>
              <w:t>原位化学氧化技术</w:t>
            </w:r>
          </w:p>
        </w:tc>
        <w:tc>
          <w:tcPr>
            <w:tcW w:w="2699" w:type="pct"/>
            <w:shd w:val="clear" w:color="auto" w:fill="auto"/>
            <w:vAlign w:val="center"/>
          </w:tcPr>
          <w:p>
            <w:pPr>
              <w:pStyle w:val="178"/>
              <w:rPr>
                <w:rFonts w:hint="eastAsia"/>
              </w:rPr>
            </w:pPr>
            <w:r>
              <w:rPr>
                <w:rFonts w:hint="eastAsia"/>
              </w:rPr>
              <w:t>现场建设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rPr>
                <w:rFonts w:hint="eastAsia"/>
              </w:rPr>
            </w:pPr>
          </w:p>
        </w:tc>
        <w:tc>
          <w:tcPr>
            <w:tcW w:w="2699" w:type="pct"/>
            <w:shd w:val="clear" w:color="auto" w:fill="auto"/>
            <w:vAlign w:val="center"/>
          </w:tcPr>
          <w:p>
            <w:pPr>
              <w:pStyle w:val="178"/>
              <w:rPr>
                <w:rFonts w:hint="eastAsia"/>
              </w:rPr>
            </w:pPr>
            <w:r>
              <w:rPr>
                <w:rFonts w:hint="eastAsia"/>
              </w:rPr>
              <w:t>药剂注入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pPr>
          </w:p>
        </w:tc>
        <w:tc>
          <w:tcPr>
            <w:tcW w:w="2699" w:type="pct"/>
            <w:shd w:val="clear" w:color="auto" w:fill="auto"/>
            <w:vAlign w:val="center"/>
          </w:tcPr>
          <w:p>
            <w:pPr>
              <w:pStyle w:val="178"/>
              <w:rPr>
                <w:rFonts w:hint="eastAsia"/>
              </w:rPr>
            </w:pPr>
            <w:r>
              <w:rPr>
                <w:rFonts w:hint="eastAsia"/>
              </w:rPr>
              <w:t>现场监测与调整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rPr>
                <w:rFonts w:hint="eastAsia"/>
              </w:rPr>
            </w:pPr>
          </w:p>
        </w:tc>
        <w:tc>
          <w:tcPr>
            <w:tcW w:w="2699" w:type="pct"/>
            <w:shd w:val="clear" w:color="auto" w:fill="auto"/>
            <w:vAlign w:val="center"/>
          </w:tcPr>
          <w:p>
            <w:pPr>
              <w:pStyle w:val="178"/>
              <w:rPr>
                <w:rFonts w:hint="eastAsia"/>
              </w:rPr>
            </w:pPr>
            <w:r>
              <w:rPr>
                <w:rFonts w:hint="eastAsia"/>
              </w:rPr>
              <w:t>采样分析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rPr>
                <w:rFonts w:hint="eastAsia"/>
              </w:rPr>
            </w:pPr>
          </w:p>
        </w:tc>
        <w:tc>
          <w:tcPr>
            <w:tcW w:w="2699" w:type="pct"/>
            <w:shd w:val="clear" w:color="auto" w:fill="auto"/>
            <w:vAlign w:val="center"/>
          </w:tcPr>
          <w:p>
            <w:pPr>
              <w:pStyle w:val="178"/>
              <w:rPr>
                <w:rFonts w:hint="eastAsia"/>
              </w:rPr>
            </w:pPr>
            <w:r>
              <w:rPr>
                <w:rFonts w:hint="eastAsia"/>
              </w:rPr>
              <w:t>后续处理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restart"/>
            <w:shd w:val="clear" w:color="auto" w:fill="auto"/>
            <w:vAlign w:val="center"/>
          </w:tcPr>
          <w:p>
            <w:pPr>
              <w:pStyle w:val="178"/>
              <w:rPr>
                <w:rFonts w:hint="eastAsia"/>
              </w:rPr>
            </w:pPr>
            <w:r>
              <w:rPr>
                <w:rFonts w:hint="eastAsia"/>
              </w:rPr>
              <w:t>原位生物修复技术</w:t>
            </w:r>
          </w:p>
        </w:tc>
        <w:tc>
          <w:tcPr>
            <w:tcW w:w="2699" w:type="pct"/>
            <w:shd w:val="clear" w:color="auto" w:fill="auto"/>
            <w:vAlign w:val="center"/>
          </w:tcPr>
          <w:p>
            <w:pPr>
              <w:pStyle w:val="178"/>
              <w:rPr>
                <w:rFonts w:hint="eastAsia"/>
              </w:rPr>
            </w:pPr>
            <w:r>
              <w:rPr>
                <w:rFonts w:hint="eastAsia"/>
              </w:rPr>
              <w:t>现场建设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rPr>
                <w:rFonts w:hint="eastAsia"/>
              </w:rPr>
            </w:pPr>
          </w:p>
        </w:tc>
        <w:tc>
          <w:tcPr>
            <w:tcW w:w="2699" w:type="pct"/>
            <w:shd w:val="clear" w:color="auto" w:fill="auto"/>
            <w:vAlign w:val="center"/>
          </w:tcPr>
          <w:p>
            <w:pPr>
              <w:pStyle w:val="178"/>
              <w:rPr>
                <w:rFonts w:hint="eastAsia"/>
              </w:rPr>
            </w:pPr>
            <w:r>
              <w:rPr>
                <w:rFonts w:hint="eastAsia"/>
              </w:rPr>
              <w:t>添加剂注入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rPr>
                <w:rFonts w:hint="eastAsia"/>
              </w:rPr>
            </w:pPr>
          </w:p>
        </w:tc>
        <w:tc>
          <w:tcPr>
            <w:tcW w:w="2699" w:type="pct"/>
            <w:shd w:val="clear" w:color="auto" w:fill="auto"/>
            <w:vAlign w:val="center"/>
          </w:tcPr>
          <w:p>
            <w:pPr>
              <w:pStyle w:val="178"/>
              <w:rPr>
                <w:rFonts w:hint="eastAsia"/>
              </w:rPr>
            </w:pPr>
            <w:r>
              <w:rPr>
                <w:rFonts w:hint="eastAsia"/>
              </w:rPr>
              <w:t>现场监测与调整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rPr>
                <w:rFonts w:hint="eastAsia"/>
              </w:rPr>
            </w:pPr>
          </w:p>
        </w:tc>
        <w:tc>
          <w:tcPr>
            <w:tcW w:w="2699" w:type="pct"/>
            <w:shd w:val="clear" w:color="auto" w:fill="auto"/>
            <w:vAlign w:val="center"/>
          </w:tcPr>
          <w:p>
            <w:pPr>
              <w:pStyle w:val="178"/>
              <w:rPr>
                <w:rFonts w:hint="eastAsia"/>
              </w:rPr>
            </w:pPr>
            <w:r>
              <w:rPr>
                <w:rFonts w:hint="eastAsia"/>
              </w:rPr>
              <w:t>采样分析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2301" w:type="pct"/>
            <w:vMerge w:val="continue"/>
            <w:shd w:val="clear" w:color="auto" w:fill="auto"/>
            <w:vAlign w:val="center"/>
          </w:tcPr>
          <w:p>
            <w:pPr>
              <w:pStyle w:val="178"/>
              <w:rPr>
                <w:rFonts w:hint="eastAsia"/>
              </w:rPr>
            </w:pPr>
          </w:p>
        </w:tc>
        <w:tc>
          <w:tcPr>
            <w:tcW w:w="2699" w:type="pct"/>
            <w:shd w:val="clear" w:color="auto" w:fill="auto"/>
            <w:vAlign w:val="center"/>
          </w:tcPr>
          <w:p>
            <w:pPr>
              <w:pStyle w:val="178"/>
              <w:rPr>
                <w:rFonts w:hint="eastAsia"/>
              </w:rPr>
            </w:pPr>
            <w:r>
              <w:rPr>
                <w:rFonts w:hint="eastAsia"/>
              </w:rPr>
              <w:t>后续处理</w:t>
            </w:r>
          </w:p>
        </w:tc>
      </w:tr>
    </w:tbl>
    <w:p>
      <w:pPr>
        <w:pStyle w:val="56"/>
        <w:ind w:firstLine="420"/>
        <w:sectPr>
          <w:pgSz w:w="11906" w:h="16838"/>
          <w:pgMar w:top="567" w:right="1134" w:bottom="1134" w:left="1134" w:header="1418" w:footer="1134" w:gutter="284"/>
          <w:cols w:space="425" w:num="1"/>
          <w:formProt w:val="0"/>
          <w:docGrid w:linePitch="312" w:charSpace="0"/>
        </w:sectPr>
      </w:pPr>
    </w:p>
    <w:p>
      <w:pPr>
        <w:pStyle w:val="198"/>
      </w:pPr>
    </w:p>
    <w:p>
      <w:pPr>
        <w:pStyle w:val="199"/>
      </w:pPr>
    </w:p>
    <w:p>
      <w:pPr>
        <w:pStyle w:val="76"/>
        <w:spacing w:before="60" w:after="120"/>
        <w:rPr>
          <w:rFonts w:hint="eastAsia"/>
        </w:rPr>
      </w:pPr>
      <w:r>
        <w:br w:type="textWrapping"/>
      </w:r>
      <w:bookmarkStart w:id="152" w:name="_Toc175300934"/>
      <w:r>
        <w:rPr>
          <w:rFonts w:hint="eastAsia"/>
        </w:rPr>
        <w:t>（资料性）</w:t>
      </w:r>
      <w:r>
        <w:br w:type="textWrapping"/>
      </w:r>
      <w:r>
        <w:rPr>
          <w:rFonts w:hint="eastAsia"/>
        </w:rPr>
        <w:t>常用燃料-能源相关参数推荐值</w:t>
      </w:r>
      <w:bookmarkEnd w:id="152"/>
    </w:p>
    <w:p>
      <w:pPr>
        <w:pStyle w:val="56"/>
        <w:ind w:firstLine="420"/>
        <w:rPr>
          <w:rFonts w:hint="eastAsia"/>
        </w:rPr>
      </w:pPr>
      <w:r>
        <w:rPr>
          <w:rFonts w:hint="eastAsia"/>
        </w:rPr>
        <w:t>表B.1 给出了不同燃料的净热值、单位热值含碳量和燃料碳氧化率推荐值。</w:t>
      </w:r>
    </w:p>
    <w:p>
      <w:pPr>
        <w:pStyle w:val="77"/>
        <w:spacing w:before="120" w:after="120"/>
      </w:pPr>
      <w:r>
        <w:rPr>
          <w:rFonts w:hint="eastAsia"/>
        </w:rPr>
        <w:t>不同燃料的净热值、单位热值含碳量和燃料碳氧化率推荐值</w:t>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565"/>
        <w:gridCol w:w="1561"/>
        <w:gridCol w:w="1564"/>
        <w:gridCol w:w="1564"/>
        <w:gridCol w:w="1560"/>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26" w:type="dxa"/>
            <w:gridSpan w:val="2"/>
            <w:tcBorders>
              <w:top w:val="single" w:color="auto" w:sz="8" w:space="0"/>
              <w:bottom w:val="single" w:color="auto" w:sz="8" w:space="0"/>
            </w:tcBorders>
            <w:shd w:val="clear" w:color="auto" w:fill="auto"/>
            <w:vAlign w:val="center"/>
          </w:tcPr>
          <w:p>
            <w:pPr>
              <w:pStyle w:val="178"/>
            </w:pPr>
            <w:r>
              <w:rPr>
                <w:rFonts w:hint="eastAsia"/>
              </w:rPr>
              <w:t>燃料品种</w:t>
            </w:r>
          </w:p>
        </w:tc>
        <w:tc>
          <w:tcPr>
            <w:tcW w:w="1564" w:type="dxa"/>
            <w:tcBorders>
              <w:top w:val="single" w:color="auto" w:sz="8" w:space="0"/>
              <w:bottom w:val="single" w:color="auto" w:sz="8" w:space="0"/>
            </w:tcBorders>
            <w:shd w:val="clear" w:color="auto" w:fill="auto"/>
            <w:vAlign w:val="center"/>
          </w:tcPr>
          <w:p>
            <w:pPr>
              <w:pStyle w:val="178"/>
            </w:pPr>
            <w:r>
              <w:rPr>
                <w:rFonts w:hint="eastAsia"/>
              </w:rPr>
              <w:t>单位</w:t>
            </w:r>
          </w:p>
        </w:tc>
        <w:tc>
          <w:tcPr>
            <w:tcW w:w="1564" w:type="dxa"/>
            <w:tcBorders>
              <w:top w:val="single" w:color="auto" w:sz="8" w:space="0"/>
              <w:bottom w:val="single" w:color="auto" w:sz="8" w:space="0"/>
            </w:tcBorders>
            <w:shd w:val="clear" w:color="auto" w:fill="auto"/>
            <w:vAlign w:val="center"/>
          </w:tcPr>
          <w:p>
            <w:pPr>
              <w:pStyle w:val="178"/>
              <w:rPr>
                <w:rFonts w:hint="eastAsia"/>
              </w:rPr>
            </w:pPr>
            <w:r>
              <w:rPr>
                <w:rFonts w:hint="eastAsia"/>
              </w:rPr>
              <w:t>低位发热值</w:t>
            </w:r>
          </w:p>
          <w:p>
            <w:pPr>
              <w:pStyle w:val="178"/>
            </w:pPr>
            <w:r>
              <w:rPr>
                <w:rFonts w:hint="eastAsia"/>
              </w:rPr>
              <w:t>GJ t</w:t>
            </w:r>
            <w:r>
              <w:rPr>
                <w:rFonts w:hint="eastAsia"/>
                <w:vertAlign w:val="superscript"/>
              </w:rPr>
              <w:t>-1</w:t>
            </w:r>
            <w:r>
              <w:rPr>
                <w:rFonts w:hint="eastAsia"/>
              </w:rPr>
              <w:t>或GJ 10</w:t>
            </w:r>
            <w:r>
              <w:rPr>
                <w:rFonts w:hint="eastAsia"/>
                <w:vertAlign w:val="superscript"/>
              </w:rPr>
              <w:t>-4</w:t>
            </w:r>
            <w:r>
              <w:rPr>
                <w:rFonts w:hint="eastAsia"/>
              </w:rPr>
              <w:t>m</w:t>
            </w:r>
            <w:r>
              <w:rPr>
                <w:rFonts w:hint="eastAsia"/>
                <w:vertAlign w:val="superscript"/>
              </w:rPr>
              <w:t>-3</w:t>
            </w:r>
          </w:p>
        </w:tc>
        <w:tc>
          <w:tcPr>
            <w:tcW w:w="1560" w:type="dxa"/>
            <w:tcBorders>
              <w:top w:val="single" w:color="auto" w:sz="8" w:space="0"/>
              <w:bottom w:val="single" w:color="auto" w:sz="8" w:space="0"/>
            </w:tcBorders>
            <w:shd w:val="clear" w:color="auto" w:fill="auto"/>
            <w:vAlign w:val="center"/>
          </w:tcPr>
          <w:p>
            <w:pPr>
              <w:pStyle w:val="178"/>
              <w:rPr>
                <w:rFonts w:hint="eastAsia"/>
              </w:rPr>
            </w:pPr>
            <w:r>
              <w:rPr>
                <w:rFonts w:hint="eastAsia"/>
              </w:rPr>
              <w:t>单位热值含碳量</w:t>
            </w:r>
          </w:p>
          <w:p>
            <w:pPr>
              <w:pStyle w:val="178"/>
            </w:pPr>
            <w:r>
              <w:rPr>
                <w:rFonts w:hint="eastAsia"/>
              </w:rPr>
              <w:t>t C GJ</w:t>
            </w:r>
            <w:r>
              <w:rPr>
                <w:rFonts w:hint="eastAsia"/>
                <w:vertAlign w:val="superscript"/>
              </w:rPr>
              <w:t>-1</w:t>
            </w:r>
          </w:p>
        </w:tc>
        <w:tc>
          <w:tcPr>
            <w:tcW w:w="1560" w:type="dxa"/>
            <w:tcBorders>
              <w:top w:val="single" w:color="auto" w:sz="8" w:space="0"/>
              <w:bottom w:val="single" w:color="auto" w:sz="8" w:space="0"/>
            </w:tcBorders>
            <w:shd w:val="clear" w:color="auto" w:fill="auto"/>
            <w:vAlign w:val="center"/>
          </w:tcPr>
          <w:p>
            <w:pPr>
              <w:pStyle w:val="178"/>
              <w:rPr>
                <w:rFonts w:hint="eastAsia"/>
              </w:rPr>
            </w:pPr>
            <w:r>
              <w:rPr>
                <w:rFonts w:hint="eastAsia"/>
              </w:rPr>
              <w:t>燃料碳氧化率</w:t>
            </w:r>
          </w:p>
          <w:p>
            <w:pPr>
              <w:pStyle w:val="178"/>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5" w:type="dxa"/>
            <w:vMerge w:val="restart"/>
            <w:shd w:val="clear" w:color="auto" w:fill="auto"/>
            <w:vAlign w:val="center"/>
          </w:tcPr>
          <w:p>
            <w:pPr>
              <w:pStyle w:val="178"/>
            </w:pPr>
            <w:r>
              <w:rPr>
                <w:rFonts w:hint="eastAsia"/>
              </w:rPr>
              <w:t>固体燃料</w:t>
            </w:r>
          </w:p>
        </w:tc>
        <w:tc>
          <w:tcPr>
            <w:tcW w:w="1561" w:type="dxa"/>
            <w:shd w:val="clear" w:color="auto" w:fill="auto"/>
            <w:vAlign w:val="center"/>
          </w:tcPr>
          <w:p>
            <w:pPr>
              <w:pStyle w:val="178"/>
            </w:pPr>
            <w:r>
              <w:rPr>
                <w:rFonts w:hint="eastAsia"/>
              </w:rPr>
              <w:t>无烟煤</w:t>
            </w:r>
          </w:p>
        </w:tc>
        <w:tc>
          <w:tcPr>
            <w:tcW w:w="1564" w:type="dxa"/>
            <w:shd w:val="clear" w:color="auto" w:fill="auto"/>
            <w:vAlign w:val="center"/>
          </w:tcPr>
          <w:p>
            <w:pPr>
              <w:pStyle w:val="178"/>
              <w:rPr>
                <w:rFonts w:hint="eastAsia"/>
              </w:rPr>
            </w:pPr>
            <w:r>
              <w:rPr>
                <w:rFonts w:hint="eastAsia"/>
              </w:rPr>
              <w:t>t</w:t>
            </w:r>
          </w:p>
        </w:tc>
        <w:tc>
          <w:tcPr>
            <w:tcW w:w="1564" w:type="dxa"/>
            <w:shd w:val="clear" w:color="auto" w:fill="auto"/>
            <w:vAlign w:val="center"/>
          </w:tcPr>
          <w:p>
            <w:pPr>
              <w:pStyle w:val="178"/>
            </w:pPr>
            <w:r>
              <w:rPr>
                <w:rFonts w:hint="eastAsia"/>
              </w:rPr>
              <w:t>26.700</w:t>
            </w:r>
          </w:p>
        </w:tc>
        <w:tc>
          <w:tcPr>
            <w:tcW w:w="1560" w:type="dxa"/>
            <w:shd w:val="clear" w:color="auto" w:fill="auto"/>
            <w:vAlign w:val="center"/>
          </w:tcPr>
          <w:p>
            <w:pPr>
              <w:pStyle w:val="178"/>
            </w:pPr>
            <w:r>
              <w:rPr>
                <w:rFonts w:hint="eastAsia"/>
              </w:rPr>
              <w:t>27.4×10</w:t>
            </w:r>
            <w:r>
              <w:rPr>
                <w:rFonts w:hint="eastAsia"/>
                <w:vertAlign w:val="superscript"/>
              </w:rPr>
              <w:t>-3</w:t>
            </w:r>
          </w:p>
        </w:tc>
        <w:tc>
          <w:tcPr>
            <w:tcW w:w="1560" w:type="dxa"/>
            <w:shd w:val="clear" w:color="auto" w:fill="auto"/>
            <w:vAlign w:val="center"/>
          </w:tcPr>
          <w:p>
            <w:pPr>
              <w:pStyle w:val="178"/>
            </w:pPr>
            <w:r>
              <w:rPr>
                <w:rFonts w:hint="eastAsia"/>
              </w:rPr>
              <w:t>94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5" w:type="dxa"/>
            <w:vMerge w:val="continue"/>
            <w:shd w:val="clear" w:color="auto" w:fill="auto"/>
            <w:vAlign w:val="center"/>
          </w:tcPr>
          <w:p>
            <w:pPr>
              <w:pStyle w:val="178"/>
            </w:pPr>
          </w:p>
        </w:tc>
        <w:tc>
          <w:tcPr>
            <w:tcW w:w="1561" w:type="dxa"/>
            <w:shd w:val="clear" w:color="auto" w:fill="auto"/>
            <w:vAlign w:val="center"/>
          </w:tcPr>
          <w:p>
            <w:pPr>
              <w:pStyle w:val="178"/>
            </w:pPr>
            <w:r>
              <w:rPr>
                <w:rFonts w:hint="eastAsia"/>
              </w:rPr>
              <w:t>烟煤</w:t>
            </w:r>
          </w:p>
        </w:tc>
        <w:tc>
          <w:tcPr>
            <w:tcW w:w="1564" w:type="dxa"/>
            <w:shd w:val="clear" w:color="auto" w:fill="auto"/>
            <w:vAlign w:val="center"/>
          </w:tcPr>
          <w:p>
            <w:pPr>
              <w:pStyle w:val="178"/>
              <w:rPr>
                <w:rFonts w:hint="eastAsia"/>
              </w:rPr>
            </w:pPr>
            <w:r>
              <w:rPr>
                <w:rFonts w:hint="eastAsia"/>
              </w:rPr>
              <w:t>t</w:t>
            </w:r>
          </w:p>
        </w:tc>
        <w:tc>
          <w:tcPr>
            <w:tcW w:w="1564" w:type="dxa"/>
            <w:shd w:val="clear" w:color="auto" w:fill="auto"/>
            <w:vAlign w:val="center"/>
          </w:tcPr>
          <w:p>
            <w:pPr>
              <w:pStyle w:val="178"/>
            </w:pPr>
            <w:r>
              <w:rPr>
                <w:rFonts w:hint="eastAsia"/>
              </w:rPr>
              <w:t>19.570</w:t>
            </w:r>
          </w:p>
        </w:tc>
        <w:tc>
          <w:tcPr>
            <w:tcW w:w="1560" w:type="dxa"/>
            <w:shd w:val="clear" w:color="auto" w:fill="auto"/>
            <w:vAlign w:val="center"/>
          </w:tcPr>
          <w:p>
            <w:pPr>
              <w:pStyle w:val="178"/>
            </w:pPr>
            <w:r>
              <w:rPr>
                <w:rFonts w:hint="eastAsia"/>
              </w:rPr>
              <w:t>26.1×10</w:t>
            </w:r>
            <w:r>
              <w:rPr>
                <w:rFonts w:hint="eastAsia"/>
                <w:vertAlign w:val="superscript"/>
              </w:rPr>
              <w:t>-3</w:t>
            </w:r>
          </w:p>
        </w:tc>
        <w:tc>
          <w:tcPr>
            <w:tcW w:w="1560" w:type="dxa"/>
            <w:shd w:val="clear" w:color="auto" w:fill="auto"/>
            <w:vAlign w:val="center"/>
          </w:tcPr>
          <w:p>
            <w:pPr>
              <w:pStyle w:val="178"/>
            </w:pPr>
            <w:r>
              <w:rPr>
                <w:rFonts w:hint="eastAsia"/>
              </w:rPr>
              <w:t>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5" w:type="dxa"/>
            <w:vMerge w:val="continue"/>
            <w:shd w:val="clear" w:color="auto" w:fill="auto"/>
            <w:vAlign w:val="center"/>
          </w:tcPr>
          <w:p>
            <w:pPr>
              <w:pStyle w:val="178"/>
            </w:pPr>
          </w:p>
        </w:tc>
        <w:tc>
          <w:tcPr>
            <w:tcW w:w="1561" w:type="dxa"/>
            <w:shd w:val="clear" w:color="auto" w:fill="auto"/>
            <w:vAlign w:val="center"/>
          </w:tcPr>
          <w:p>
            <w:pPr>
              <w:pStyle w:val="178"/>
            </w:pPr>
            <w:r>
              <w:rPr>
                <w:rFonts w:hint="eastAsia"/>
              </w:rPr>
              <w:t>褐煤</w:t>
            </w:r>
          </w:p>
        </w:tc>
        <w:tc>
          <w:tcPr>
            <w:tcW w:w="1564" w:type="dxa"/>
            <w:shd w:val="clear" w:color="auto" w:fill="auto"/>
            <w:vAlign w:val="center"/>
          </w:tcPr>
          <w:p>
            <w:pPr>
              <w:pStyle w:val="178"/>
              <w:rPr>
                <w:rFonts w:hint="eastAsia"/>
              </w:rPr>
            </w:pPr>
            <w:r>
              <w:rPr>
                <w:rFonts w:hint="eastAsia"/>
              </w:rPr>
              <w:t>t</w:t>
            </w:r>
          </w:p>
        </w:tc>
        <w:tc>
          <w:tcPr>
            <w:tcW w:w="1564" w:type="dxa"/>
            <w:shd w:val="clear" w:color="auto" w:fill="auto"/>
            <w:vAlign w:val="center"/>
          </w:tcPr>
          <w:p>
            <w:pPr>
              <w:pStyle w:val="178"/>
            </w:pPr>
            <w:r>
              <w:rPr>
                <w:rFonts w:hint="eastAsia"/>
              </w:rPr>
              <w:t>11.900</w:t>
            </w:r>
          </w:p>
        </w:tc>
        <w:tc>
          <w:tcPr>
            <w:tcW w:w="1560" w:type="dxa"/>
            <w:shd w:val="clear" w:color="auto" w:fill="auto"/>
            <w:vAlign w:val="center"/>
          </w:tcPr>
          <w:p>
            <w:pPr>
              <w:pStyle w:val="178"/>
            </w:pPr>
            <w:r>
              <w:rPr>
                <w:rFonts w:hint="eastAsia"/>
              </w:rPr>
              <w:t>28.0×10</w:t>
            </w:r>
            <w:r>
              <w:rPr>
                <w:rFonts w:hint="eastAsia"/>
                <w:vertAlign w:val="superscript"/>
              </w:rPr>
              <w:t>-3</w:t>
            </w:r>
          </w:p>
        </w:tc>
        <w:tc>
          <w:tcPr>
            <w:tcW w:w="1560" w:type="dxa"/>
            <w:shd w:val="clear" w:color="auto" w:fill="auto"/>
            <w:vAlign w:val="center"/>
          </w:tcPr>
          <w:p>
            <w:pPr>
              <w:pStyle w:val="178"/>
            </w:pPr>
            <w:r>
              <w:rPr>
                <w:rFonts w:hint="eastAsia"/>
              </w:rPr>
              <w:t>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5" w:type="dxa"/>
            <w:vMerge w:val="continue"/>
            <w:shd w:val="clear" w:color="auto" w:fill="auto"/>
            <w:vAlign w:val="center"/>
          </w:tcPr>
          <w:p>
            <w:pPr>
              <w:pStyle w:val="178"/>
            </w:pPr>
          </w:p>
        </w:tc>
        <w:tc>
          <w:tcPr>
            <w:tcW w:w="1561" w:type="dxa"/>
            <w:shd w:val="clear" w:color="auto" w:fill="auto"/>
            <w:vAlign w:val="center"/>
          </w:tcPr>
          <w:p>
            <w:pPr>
              <w:pStyle w:val="178"/>
              <w:rPr>
                <w:rFonts w:hint="eastAsia"/>
              </w:rPr>
            </w:pPr>
            <w:r>
              <w:rPr>
                <w:rFonts w:hint="eastAsia"/>
              </w:rPr>
              <w:t>型煤</w:t>
            </w:r>
          </w:p>
        </w:tc>
        <w:tc>
          <w:tcPr>
            <w:tcW w:w="1564" w:type="dxa"/>
            <w:shd w:val="clear" w:color="auto" w:fill="auto"/>
            <w:vAlign w:val="center"/>
          </w:tcPr>
          <w:p>
            <w:pPr>
              <w:pStyle w:val="178"/>
              <w:rPr>
                <w:rFonts w:hint="eastAsia"/>
              </w:rPr>
            </w:pPr>
            <w:r>
              <w:rPr>
                <w:rFonts w:hint="eastAsia"/>
              </w:rPr>
              <w:t>t</w:t>
            </w:r>
          </w:p>
        </w:tc>
        <w:tc>
          <w:tcPr>
            <w:tcW w:w="1564" w:type="dxa"/>
            <w:shd w:val="clear" w:color="auto" w:fill="auto"/>
            <w:vAlign w:val="center"/>
          </w:tcPr>
          <w:p>
            <w:pPr>
              <w:pStyle w:val="178"/>
            </w:pPr>
            <w:r>
              <w:rPr>
                <w:rFonts w:hint="eastAsia"/>
              </w:rPr>
              <w:t>17.460</w:t>
            </w:r>
          </w:p>
        </w:tc>
        <w:tc>
          <w:tcPr>
            <w:tcW w:w="1560" w:type="dxa"/>
            <w:shd w:val="clear" w:color="auto" w:fill="auto"/>
            <w:vAlign w:val="center"/>
          </w:tcPr>
          <w:p>
            <w:pPr>
              <w:pStyle w:val="178"/>
            </w:pPr>
            <w:r>
              <w:rPr>
                <w:rFonts w:hint="eastAsia"/>
              </w:rPr>
              <w:t>33.6×10</w:t>
            </w:r>
            <w:r>
              <w:rPr>
                <w:rFonts w:hint="eastAsia"/>
                <w:vertAlign w:val="superscript"/>
              </w:rPr>
              <w:t>-3</w:t>
            </w:r>
          </w:p>
        </w:tc>
        <w:tc>
          <w:tcPr>
            <w:tcW w:w="1560" w:type="dxa"/>
            <w:shd w:val="clear" w:color="auto" w:fill="auto"/>
            <w:vAlign w:val="center"/>
          </w:tcPr>
          <w:p>
            <w:pPr>
              <w:pStyle w:val="178"/>
            </w:pPr>
            <w:r>
              <w:rPr>
                <w:rFonts w:hint="eastAsia"/>
              </w:rPr>
              <w:t>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5" w:type="dxa"/>
            <w:vMerge w:val="restart"/>
            <w:shd w:val="clear" w:color="auto" w:fill="auto"/>
            <w:vAlign w:val="center"/>
          </w:tcPr>
          <w:p>
            <w:pPr>
              <w:pStyle w:val="178"/>
            </w:pPr>
            <w:r>
              <w:rPr>
                <w:rFonts w:hint="eastAsia"/>
              </w:rPr>
              <w:t>液体燃料</w:t>
            </w:r>
          </w:p>
        </w:tc>
        <w:tc>
          <w:tcPr>
            <w:tcW w:w="1561" w:type="dxa"/>
            <w:shd w:val="clear" w:color="auto" w:fill="auto"/>
            <w:vAlign w:val="center"/>
          </w:tcPr>
          <w:p>
            <w:pPr>
              <w:pStyle w:val="178"/>
              <w:rPr>
                <w:rFonts w:hint="eastAsia"/>
              </w:rPr>
            </w:pPr>
            <w:r>
              <w:rPr>
                <w:rFonts w:hint="eastAsia"/>
              </w:rPr>
              <w:t>汽油</w:t>
            </w:r>
          </w:p>
        </w:tc>
        <w:tc>
          <w:tcPr>
            <w:tcW w:w="1564" w:type="dxa"/>
            <w:shd w:val="clear" w:color="auto" w:fill="auto"/>
            <w:vAlign w:val="center"/>
          </w:tcPr>
          <w:p>
            <w:pPr>
              <w:pStyle w:val="178"/>
              <w:rPr>
                <w:rFonts w:hint="eastAsia"/>
              </w:rPr>
            </w:pPr>
            <w:r>
              <w:rPr>
                <w:rFonts w:hint="eastAsia"/>
              </w:rPr>
              <w:t>t</w:t>
            </w:r>
          </w:p>
        </w:tc>
        <w:tc>
          <w:tcPr>
            <w:tcW w:w="1564" w:type="dxa"/>
            <w:shd w:val="clear" w:color="auto" w:fill="auto"/>
            <w:vAlign w:val="center"/>
          </w:tcPr>
          <w:p>
            <w:pPr>
              <w:pStyle w:val="178"/>
            </w:pPr>
            <w:r>
              <w:rPr>
                <w:rFonts w:hint="eastAsia"/>
              </w:rPr>
              <w:t>43.070</w:t>
            </w:r>
          </w:p>
        </w:tc>
        <w:tc>
          <w:tcPr>
            <w:tcW w:w="1560" w:type="dxa"/>
            <w:shd w:val="clear" w:color="auto" w:fill="auto"/>
            <w:vAlign w:val="center"/>
          </w:tcPr>
          <w:p>
            <w:pPr>
              <w:pStyle w:val="178"/>
            </w:pPr>
            <w:r>
              <w:rPr>
                <w:rFonts w:hint="eastAsia"/>
              </w:rPr>
              <w:t>18.9×10</w:t>
            </w:r>
            <w:r>
              <w:rPr>
                <w:rFonts w:hint="eastAsia"/>
                <w:vertAlign w:val="superscript"/>
              </w:rPr>
              <w:t>-3</w:t>
            </w:r>
          </w:p>
        </w:tc>
        <w:tc>
          <w:tcPr>
            <w:tcW w:w="1560" w:type="dxa"/>
            <w:shd w:val="clear" w:color="auto" w:fill="auto"/>
            <w:vAlign w:val="center"/>
          </w:tcPr>
          <w:p>
            <w:pPr>
              <w:pStyle w:val="178"/>
            </w:pPr>
            <w:r>
              <w:rPr>
                <w:rFonts w:hint="eastAsia"/>
              </w:rPr>
              <w:t>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5" w:type="dxa"/>
            <w:vMerge w:val="continue"/>
            <w:shd w:val="clear" w:color="auto" w:fill="auto"/>
            <w:vAlign w:val="center"/>
          </w:tcPr>
          <w:p>
            <w:pPr>
              <w:pStyle w:val="178"/>
            </w:pPr>
          </w:p>
        </w:tc>
        <w:tc>
          <w:tcPr>
            <w:tcW w:w="1561" w:type="dxa"/>
            <w:shd w:val="clear" w:color="auto" w:fill="auto"/>
            <w:vAlign w:val="center"/>
          </w:tcPr>
          <w:p>
            <w:pPr>
              <w:pStyle w:val="178"/>
              <w:rPr>
                <w:rFonts w:hint="eastAsia"/>
              </w:rPr>
            </w:pPr>
            <w:r>
              <w:rPr>
                <w:rFonts w:hint="eastAsia"/>
              </w:rPr>
              <w:t>柴油</w:t>
            </w:r>
          </w:p>
        </w:tc>
        <w:tc>
          <w:tcPr>
            <w:tcW w:w="1564" w:type="dxa"/>
            <w:shd w:val="clear" w:color="auto" w:fill="auto"/>
            <w:vAlign w:val="center"/>
          </w:tcPr>
          <w:p>
            <w:pPr>
              <w:pStyle w:val="178"/>
              <w:rPr>
                <w:rFonts w:hint="eastAsia"/>
              </w:rPr>
            </w:pPr>
            <w:r>
              <w:rPr>
                <w:rFonts w:hint="eastAsia"/>
              </w:rPr>
              <w:t>t</w:t>
            </w:r>
          </w:p>
        </w:tc>
        <w:tc>
          <w:tcPr>
            <w:tcW w:w="1564" w:type="dxa"/>
            <w:shd w:val="clear" w:color="auto" w:fill="auto"/>
            <w:vAlign w:val="center"/>
          </w:tcPr>
          <w:p>
            <w:pPr>
              <w:pStyle w:val="178"/>
            </w:pPr>
            <w:r>
              <w:rPr>
                <w:rFonts w:hint="eastAsia"/>
              </w:rPr>
              <w:t>42.652</w:t>
            </w:r>
          </w:p>
        </w:tc>
        <w:tc>
          <w:tcPr>
            <w:tcW w:w="1560" w:type="dxa"/>
            <w:shd w:val="clear" w:color="auto" w:fill="auto"/>
            <w:vAlign w:val="center"/>
          </w:tcPr>
          <w:p>
            <w:pPr>
              <w:pStyle w:val="178"/>
            </w:pPr>
            <w:r>
              <w:rPr>
                <w:rFonts w:hint="eastAsia"/>
              </w:rPr>
              <w:t>20.2×10</w:t>
            </w:r>
            <w:r>
              <w:rPr>
                <w:rFonts w:hint="eastAsia"/>
                <w:vertAlign w:val="superscript"/>
              </w:rPr>
              <w:t>-3</w:t>
            </w:r>
          </w:p>
        </w:tc>
        <w:tc>
          <w:tcPr>
            <w:tcW w:w="1560" w:type="dxa"/>
            <w:shd w:val="clear" w:color="auto" w:fill="auto"/>
            <w:vAlign w:val="center"/>
          </w:tcPr>
          <w:p>
            <w:pPr>
              <w:pStyle w:val="178"/>
            </w:pPr>
            <w:r>
              <w:rPr>
                <w:rFonts w:hint="eastAsia"/>
              </w:rPr>
              <w:t>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 w:hRule="atLeast"/>
          <w:jc w:val="center"/>
        </w:trPr>
        <w:tc>
          <w:tcPr>
            <w:tcW w:w="1565" w:type="dxa"/>
            <w:vMerge w:val="restart"/>
            <w:shd w:val="clear" w:color="auto" w:fill="auto"/>
            <w:vAlign w:val="center"/>
          </w:tcPr>
          <w:p>
            <w:pPr>
              <w:pStyle w:val="178"/>
            </w:pPr>
            <w:r>
              <w:rPr>
                <w:rFonts w:hint="eastAsia"/>
              </w:rPr>
              <w:t>气体燃料</w:t>
            </w:r>
          </w:p>
        </w:tc>
        <w:tc>
          <w:tcPr>
            <w:tcW w:w="1561" w:type="dxa"/>
            <w:shd w:val="clear" w:color="auto" w:fill="auto"/>
            <w:vAlign w:val="center"/>
          </w:tcPr>
          <w:p>
            <w:pPr>
              <w:pStyle w:val="178"/>
            </w:pPr>
            <w:r>
              <w:rPr>
                <w:rFonts w:hint="eastAsia"/>
              </w:rPr>
              <w:t>天然气</w:t>
            </w:r>
          </w:p>
        </w:tc>
        <w:tc>
          <w:tcPr>
            <w:tcW w:w="1564" w:type="dxa"/>
            <w:shd w:val="clear" w:color="auto" w:fill="auto"/>
            <w:vAlign w:val="center"/>
          </w:tcPr>
          <w:p>
            <w:pPr>
              <w:pStyle w:val="178"/>
            </w:pPr>
            <w:r>
              <w:rPr>
                <w:rFonts w:hint="eastAsia"/>
              </w:rPr>
              <w:t>10</w:t>
            </w:r>
            <w:r>
              <w:rPr>
                <w:rFonts w:hint="eastAsia"/>
                <w:vertAlign w:val="superscript"/>
              </w:rPr>
              <w:t>4</w:t>
            </w:r>
            <w:r>
              <w:rPr>
                <w:rFonts w:hint="eastAsia"/>
              </w:rPr>
              <w:t>m</w:t>
            </w:r>
            <w:r>
              <w:rPr>
                <w:rFonts w:hint="eastAsia"/>
                <w:vertAlign w:val="superscript"/>
              </w:rPr>
              <w:t>3</w:t>
            </w:r>
          </w:p>
        </w:tc>
        <w:tc>
          <w:tcPr>
            <w:tcW w:w="1564" w:type="dxa"/>
            <w:shd w:val="clear" w:color="auto" w:fill="auto"/>
            <w:vAlign w:val="center"/>
          </w:tcPr>
          <w:p>
            <w:pPr>
              <w:pStyle w:val="178"/>
            </w:pPr>
            <w:r>
              <w:rPr>
                <w:rFonts w:hint="eastAsia"/>
              </w:rPr>
              <w:t>389.310</w:t>
            </w:r>
          </w:p>
        </w:tc>
        <w:tc>
          <w:tcPr>
            <w:tcW w:w="1560" w:type="dxa"/>
            <w:shd w:val="clear" w:color="auto" w:fill="auto"/>
            <w:vAlign w:val="center"/>
          </w:tcPr>
          <w:p>
            <w:pPr>
              <w:pStyle w:val="178"/>
            </w:pPr>
            <w:r>
              <w:rPr>
                <w:rFonts w:hint="eastAsia"/>
              </w:rPr>
              <w:t>15.3×10</w:t>
            </w:r>
            <w:r>
              <w:rPr>
                <w:rFonts w:hint="eastAsia"/>
                <w:vertAlign w:val="superscript"/>
              </w:rPr>
              <w:t>-3</w:t>
            </w:r>
          </w:p>
        </w:tc>
        <w:tc>
          <w:tcPr>
            <w:tcW w:w="1560" w:type="dxa"/>
            <w:shd w:val="clear" w:color="auto" w:fill="auto"/>
            <w:vAlign w:val="center"/>
          </w:tcPr>
          <w:p>
            <w:pPr>
              <w:pStyle w:val="178"/>
            </w:pPr>
            <w:r>
              <w:rPr>
                <w:rFonts w:hint="eastAsia"/>
              </w:rPr>
              <w:t>99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565" w:type="dxa"/>
            <w:vMerge w:val="continue"/>
            <w:shd w:val="clear" w:color="auto" w:fill="auto"/>
            <w:vAlign w:val="center"/>
          </w:tcPr>
          <w:p>
            <w:pPr>
              <w:pStyle w:val="178"/>
            </w:pPr>
          </w:p>
        </w:tc>
        <w:tc>
          <w:tcPr>
            <w:tcW w:w="1561" w:type="dxa"/>
            <w:shd w:val="clear" w:color="auto" w:fill="auto"/>
            <w:vAlign w:val="center"/>
          </w:tcPr>
          <w:p>
            <w:pPr>
              <w:pStyle w:val="178"/>
            </w:pPr>
            <w:r>
              <w:rPr>
                <w:rFonts w:hint="eastAsia"/>
              </w:rPr>
              <w:t>其他煤气</w:t>
            </w:r>
          </w:p>
        </w:tc>
        <w:tc>
          <w:tcPr>
            <w:tcW w:w="1564" w:type="dxa"/>
            <w:shd w:val="clear" w:color="auto" w:fill="auto"/>
            <w:vAlign w:val="center"/>
          </w:tcPr>
          <w:p>
            <w:pPr>
              <w:pStyle w:val="178"/>
            </w:pPr>
            <w:r>
              <w:rPr>
                <w:rFonts w:hint="eastAsia"/>
              </w:rPr>
              <w:t>10</w:t>
            </w:r>
            <w:r>
              <w:rPr>
                <w:rFonts w:hint="eastAsia"/>
                <w:vertAlign w:val="superscript"/>
              </w:rPr>
              <w:t>4</w:t>
            </w:r>
            <w:r>
              <w:rPr>
                <w:rFonts w:hint="eastAsia"/>
              </w:rPr>
              <w:t>m</w:t>
            </w:r>
            <w:r>
              <w:rPr>
                <w:rFonts w:hint="eastAsia"/>
                <w:vertAlign w:val="superscript"/>
              </w:rPr>
              <w:t>3</w:t>
            </w:r>
          </w:p>
        </w:tc>
        <w:tc>
          <w:tcPr>
            <w:tcW w:w="1564" w:type="dxa"/>
            <w:shd w:val="clear" w:color="auto" w:fill="auto"/>
            <w:vAlign w:val="center"/>
          </w:tcPr>
          <w:p>
            <w:pPr>
              <w:pStyle w:val="178"/>
            </w:pPr>
            <w:r>
              <w:rPr>
                <w:rFonts w:hint="eastAsia"/>
              </w:rPr>
              <w:t>52.270</w:t>
            </w:r>
          </w:p>
        </w:tc>
        <w:tc>
          <w:tcPr>
            <w:tcW w:w="1560" w:type="dxa"/>
            <w:shd w:val="clear" w:color="auto" w:fill="auto"/>
            <w:vAlign w:val="center"/>
          </w:tcPr>
          <w:p>
            <w:pPr>
              <w:pStyle w:val="178"/>
            </w:pPr>
            <w:r>
              <w:rPr>
                <w:rFonts w:hint="eastAsia"/>
              </w:rPr>
              <w:t>12.2×10</w:t>
            </w:r>
            <w:r>
              <w:rPr>
                <w:rFonts w:hint="eastAsia"/>
                <w:vertAlign w:val="superscript"/>
              </w:rPr>
              <w:t>-3</w:t>
            </w:r>
          </w:p>
        </w:tc>
        <w:tc>
          <w:tcPr>
            <w:tcW w:w="1560" w:type="dxa"/>
            <w:shd w:val="clear" w:color="auto" w:fill="auto"/>
            <w:vAlign w:val="center"/>
          </w:tcPr>
          <w:p>
            <w:pPr>
              <w:pStyle w:val="178"/>
            </w:pPr>
            <w:r>
              <w:rPr>
                <w:rFonts w:hint="eastAsia"/>
              </w:rPr>
              <w:t>99</w:t>
            </w:r>
          </w:p>
        </w:tc>
      </w:tr>
      <w:bookmarkEnd w:id="149"/>
    </w:tbl>
    <w:p>
      <w:pPr>
        <w:pStyle w:val="56"/>
        <w:ind w:firstLine="0" w:firstLineChars="0"/>
        <w:jc w:val="center"/>
      </w:pPr>
      <w:bookmarkStart w:id="153"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7"/>
                    <a:stretch>
                      <a:fillRect/>
                    </a:stretch>
                  </pic:blipFill>
                  <pic:spPr>
                    <a:xfrm>
                      <a:off x="0" y="0"/>
                      <a:ext cx="1485900" cy="317500"/>
                    </a:xfrm>
                    <a:prstGeom prst="rect">
                      <a:avLst/>
                    </a:prstGeom>
                  </pic:spPr>
                </pic:pic>
              </a:graphicData>
            </a:graphic>
          </wp:inline>
        </w:drawing>
      </w:r>
      <w:bookmarkEnd w:id="153"/>
    </w:p>
    <w:sectPr>
      <w:pgSz w:w="11906" w:h="16838"/>
      <w:pgMar w:top="567"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T/SDEPI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pPr>
    <w:r>
      <w:fldChar w:fldCharType="begin"/>
    </w:r>
    <w:r>
      <w:instrText xml:space="preserve"> STYLEREF  标准文件_文件编号  \* MERGEFORMAT </w:instrText>
    </w:r>
    <w:r>
      <w:fldChar w:fldCharType="separate"/>
    </w:r>
    <w:r>
      <w:t>T/SDEPI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NjA1NWIxOTVkNTllZjcxY2JkNmI1N2E1NDBhY2YifQ=="/>
  </w:docVars>
  <w:rsids>
    <w:rsidRoot w:val="009E25A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366C"/>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0D98"/>
    <w:rsid w:val="001227FB"/>
    <w:rsid w:val="00123945"/>
    <w:rsid w:val="00124E4F"/>
    <w:rsid w:val="001260B7"/>
    <w:rsid w:val="001265CB"/>
    <w:rsid w:val="00130177"/>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4FC4"/>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1AE8"/>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ACE"/>
    <w:rsid w:val="0020527B"/>
    <w:rsid w:val="00205F2C"/>
    <w:rsid w:val="00210B15"/>
    <w:rsid w:val="002142EA"/>
    <w:rsid w:val="00215ADD"/>
    <w:rsid w:val="00215D7F"/>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21E"/>
    <w:rsid w:val="0026148A"/>
    <w:rsid w:val="00262696"/>
    <w:rsid w:val="00263D25"/>
    <w:rsid w:val="002643C3"/>
    <w:rsid w:val="00264A0C"/>
    <w:rsid w:val="00266EEB"/>
    <w:rsid w:val="00267EF4"/>
    <w:rsid w:val="00270CB8"/>
    <w:rsid w:val="00272B08"/>
    <w:rsid w:val="002747A3"/>
    <w:rsid w:val="00281BB8"/>
    <w:rsid w:val="00281E9E"/>
    <w:rsid w:val="00282405"/>
    <w:rsid w:val="002840BA"/>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0CD"/>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631"/>
    <w:rsid w:val="002C5278"/>
    <w:rsid w:val="002C696F"/>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F9"/>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3D2"/>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48CC"/>
    <w:rsid w:val="003B5BF0"/>
    <w:rsid w:val="003B60BF"/>
    <w:rsid w:val="003B6BE3"/>
    <w:rsid w:val="003C010C"/>
    <w:rsid w:val="003C0A6C"/>
    <w:rsid w:val="003C14F8"/>
    <w:rsid w:val="003C30FC"/>
    <w:rsid w:val="003C5A43"/>
    <w:rsid w:val="003D0519"/>
    <w:rsid w:val="003D0FF6"/>
    <w:rsid w:val="003D262C"/>
    <w:rsid w:val="003D6433"/>
    <w:rsid w:val="003D6D61"/>
    <w:rsid w:val="003E091D"/>
    <w:rsid w:val="003E1C53"/>
    <w:rsid w:val="003E2A69"/>
    <w:rsid w:val="003E2D49"/>
    <w:rsid w:val="003E2FD4"/>
    <w:rsid w:val="003E49F6"/>
    <w:rsid w:val="003E660F"/>
    <w:rsid w:val="003F0841"/>
    <w:rsid w:val="003F232A"/>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DAD"/>
    <w:rsid w:val="00445574"/>
    <w:rsid w:val="004467FB"/>
    <w:rsid w:val="00452D6B"/>
    <w:rsid w:val="00454484"/>
    <w:rsid w:val="0045517B"/>
    <w:rsid w:val="00463B77"/>
    <w:rsid w:val="00463C7B"/>
    <w:rsid w:val="004644A6"/>
    <w:rsid w:val="004659BD"/>
    <w:rsid w:val="00470775"/>
    <w:rsid w:val="00471153"/>
    <w:rsid w:val="004746B1"/>
    <w:rsid w:val="0047583F"/>
    <w:rsid w:val="00475DE8"/>
    <w:rsid w:val="00476D5C"/>
    <w:rsid w:val="00480A0B"/>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1A1C"/>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253F"/>
    <w:rsid w:val="00542C6C"/>
    <w:rsid w:val="00543BDA"/>
    <w:rsid w:val="005441CC"/>
    <w:rsid w:val="005479DA"/>
    <w:rsid w:val="00547BCC"/>
    <w:rsid w:val="0055013B"/>
    <w:rsid w:val="00551F6F"/>
    <w:rsid w:val="005545C9"/>
    <w:rsid w:val="00555044"/>
    <w:rsid w:val="00561475"/>
    <w:rsid w:val="00562308"/>
    <w:rsid w:val="0056487B"/>
    <w:rsid w:val="00564FB9"/>
    <w:rsid w:val="0056540E"/>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5C73"/>
    <w:rsid w:val="005A7830"/>
    <w:rsid w:val="005A7FCE"/>
    <w:rsid w:val="005B0F3F"/>
    <w:rsid w:val="005B191C"/>
    <w:rsid w:val="005B21EC"/>
    <w:rsid w:val="005B468E"/>
    <w:rsid w:val="005B4903"/>
    <w:rsid w:val="005B51CE"/>
    <w:rsid w:val="005B5257"/>
    <w:rsid w:val="005B5885"/>
    <w:rsid w:val="005B5CD7"/>
    <w:rsid w:val="005B6CF6"/>
    <w:rsid w:val="005B7422"/>
    <w:rsid w:val="005C29B8"/>
    <w:rsid w:val="005C4934"/>
    <w:rsid w:val="005C5F21"/>
    <w:rsid w:val="005C7156"/>
    <w:rsid w:val="005D0C75"/>
    <w:rsid w:val="005D4171"/>
    <w:rsid w:val="005D4997"/>
    <w:rsid w:val="005D6A95"/>
    <w:rsid w:val="005D6B2C"/>
    <w:rsid w:val="005D6D9C"/>
    <w:rsid w:val="005E2335"/>
    <w:rsid w:val="005E3330"/>
    <w:rsid w:val="005E34CA"/>
    <w:rsid w:val="005E3C18"/>
    <w:rsid w:val="005E4250"/>
    <w:rsid w:val="005E6812"/>
    <w:rsid w:val="005E7881"/>
    <w:rsid w:val="005E78E0"/>
    <w:rsid w:val="005F0D9C"/>
    <w:rsid w:val="005F284E"/>
    <w:rsid w:val="006015CE"/>
    <w:rsid w:val="00604784"/>
    <w:rsid w:val="00606419"/>
    <w:rsid w:val="00607D29"/>
    <w:rsid w:val="00612952"/>
    <w:rsid w:val="006133F9"/>
    <w:rsid w:val="00614CC1"/>
    <w:rsid w:val="00615A9D"/>
    <w:rsid w:val="00617387"/>
    <w:rsid w:val="006205D6"/>
    <w:rsid w:val="006246FE"/>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B716C"/>
    <w:rsid w:val="006C1BBA"/>
    <w:rsid w:val="006C2079"/>
    <w:rsid w:val="006C5A62"/>
    <w:rsid w:val="006C5D68"/>
    <w:rsid w:val="006C6976"/>
    <w:rsid w:val="006C6DD0"/>
    <w:rsid w:val="006D04EA"/>
    <w:rsid w:val="006D16C4"/>
    <w:rsid w:val="006D3E96"/>
    <w:rsid w:val="006D4515"/>
    <w:rsid w:val="006D4BB1"/>
    <w:rsid w:val="006D6593"/>
    <w:rsid w:val="006F03A8"/>
    <w:rsid w:val="006F22F9"/>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0AC"/>
    <w:rsid w:val="007444E8"/>
    <w:rsid w:val="0074548E"/>
    <w:rsid w:val="00745773"/>
    <w:rsid w:val="00746800"/>
    <w:rsid w:val="007501A8"/>
    <w:rsid w:val="00750D61"/>
    <w:rsid w:val="00750EE1"/>
    <w:rsid w:val="00752B4D"/>
    <w:rsid w:val="00755402"/>
    <w:rsid w:val="00756B26"/>
    <w:rsid w:val="00756EDF"/>
    <w:rsid w:val="007600E3"/>
    <w:rsid w:val="00763FD4"/>
    <w:rsid w:val="00765C43"/>
    <w:rsid w:val="00765EFB"/>
    <w:rsid w:val="00766D11"/>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41A7"/>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5EE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1BD5"/>
    <w:rsid w:val="00883F93"/>
    <w:rsid w:val="00884DB3"/>
    <w:rsid w:val="00885A9D"/>
    <w:rsid w:val="008864F6"/>
    <w:rsid w:val="00887D51"/>
    <w:rsid w:val="00887EDF"/>
    <w:rsid w:val="0089049D"/>
    <w:rsid w:val="008928C9"/>
    <w:rsid w:val="008930CB"/>
    <w:rsid w:val="008938DC"/>
    <w:rsid w:val="00893FD1"/>
    <w:rsid w:val="00894836"/>
    <w:rsid w:val="00895172"/>
    <w:rsid w:val="00895680"/>
    <w:rsid w:val="00896DFF"/>
    <w:rsid w:val="0089762C"/>
    <w:rsid w:val="008A173B"/>
    <w:rsid w:val="008A1893"/>
    <w:rsid w:val="008A57E6"/>
    <w:rsid w:val="008A6309"/>
    <w:rsid w:val="008A6C88"/>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37E9B"/>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79D"/>
    <w:rsid w:val="00975727"/>
    <w:rsid w:val="00977010"/>
    <w:rsid w:val="00977D02"/>
    <w:rsid w:val="00977FF9"/>
    <w:rsid w:val="009809BB"/>
    <w:rsid w:val="0098364B"/>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25A6"/>
    <w:rsid w:val="009E4A58"/>
    <w:rsid w:val="009E5A2D"/>
    <w:rsid w:val="009E5AB2"/>
    <w:rsid w:val="009E6219"/>
    <w:rsid w:val="009E718D"/>
    <w:rsid w:val="009F03B3"/>
    <w:rsid w:val="00A0096C"/>
    <w:rsid w:val="00A01757"/>
    <w:rsid w:val="00A028C0"/>
    <w:rsid w:val="00A02BAE"/>
    <w:rsid w:val="00A04299"/>
    <w:rsid w:val="00A06A6B"/>
    <w:rsid w:val="00A07E47"/>
    <w:rsid w:val="00A10EFF"/>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13F7"/>
    <w:rsid w:val="00A9295B"/>
    <w:rsid w:val="00A93B09"/>
    <w:rsid w:val="00A94005"/>
    <w:rsid w:val="00A952D7"/>
    <w:rsid w:val="00A963F7"/>
    <w:rsid w:val="00A96AD8"/>
    <w:rsid w:val="00AA052C"/>
    <w:rsid w:val="00AA1E45"/>
    <w:rsid w:val="00AA4286"/>
    <w:rsid w:val="00AA456B"/>
    <w:rsid w:val="00AA57F5"/>
    <w:rsid w:val="00AA672E"/>
    <w:rsid w:val="00AA6EC9"/>
    <w:rsid w:val="00AB6309"/>
    <w:rsid w:val="00AB6C5F"/>
    <w:rsid w:val="00AB7129"/>
    <w:rsid w:val="00AC13B6"/>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72B"/>
    <w:rsid w:val="00AE5EB4"/>
    <w:rsid w:val="00AE7B5A"/>
    <w:rsid w:val="00AF0C18"/>
    <w:rsid w:val="00AF47C5"/>
    <w:rsid w:val="00AF5398"/>
    <w:rsid w:val="00B049AF"/>
    <w:rsid w:val="00B07242"/>
    <w:rsid w:val="00B10534"/>
    <w:rsid w:val="00B113DB"/>
    <w:rsid w:val="00B11D8A"/>
    <w:rsid w:val="00B12981"/>
    <w:rsid w:val="00B12B8B"/>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35F"/>
    <w:rsid w:val="00B60ACF"/>
    <w:rsid w:val="00B62B58"/>
    <w:rsid w:val="00B64343"/>
    <w:rsid w:val="00B65149"/>
    <w:rsid w:val="00B66567"/>
    <w:rsid w:val="00B66F52"/>
    <w:rsid w:val="00B66FE5"/>
    <w:rsid w:val="00B72880"/>
    <w:rsid w:val="00B758BF"/>
    <w:rsid w:val="00B77EC8"/>
    <w:rsid w:val="00B827A6"/>
    <w:rsid w:val="00B831CE"/>
    <w:rsid w:val="00B86677"/>
    <w:rsid w:val="00B87131"/>
    <w:rsid w:val="00B905E1"/>
    <w:rsid w:val="00B939B1"/>
    <w:rsid w:val="00B96D40"/>
    <w:rsid w:val="00B97386"/>
    <w:rsid w:val="00BA263B"/>
    <w:rsid w:val="00BA3065"/>
    <w:rsid w:val="00BA42B2"/>
    <w:rsid w:val="00BA58D4"/>
    <w:rsid w:val="00BA5B9E"/>
    <w:rsid w:val="00BA64D5"/>
    <w:rsid w:val="00BA7C9A"/>
    <w:rsid w:val="00BB5F8F"/>
    <w:rsid w:val="00BB657A"/>
    <w:rsid w:val="00BC1A4E"/>
    <w:rsid w:val="00BC5DC7"/>
    <w:rsid w:val="00BC6B8B"/>
    <w:rsid w:val="00BC73D8"/>
    <w:rsid w:val="00BD29BC"/>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CFC"/>
    <w:rsid w:val="00CA2D1B"/>
    <w:rsid w:val="00CA375D"/>
    <w:rsid w:val="00CA45E9"/>
    <w:rsid w:val="00CA662A"/>
    <w:rsid w:val="00CA7AFD"/>
    <w:rsid w:val="00CA7C3C"/>
    <w:rsid w:val="00CB0189"/>
    <w:rsid w:val="00CB0BA2"/>
    <w:rsid w:val="00CB1A42"/>
    <w:rsid w:val="00CB1B0C"/>
    <w:rsid w:val="00CB2C0B"/>
    <w:rsid w:val="00CB34A3"/>
    <w:rsid w:val="00CB517D"/>
    <w:rsid w:val="00CC038D"/>
    <w:rsid w:val="00CC08DB"/>
    <w:rsid w:val="00CC39FF"/>
    <w:rsid w:val="00CC3C2F"/>
    <w:rsid w:val="00CC4AC8"/>
    <w:rsid w:val="00CC5233"/>
    <w:rsid w:val="00CC5DE6"/>
    <w:rsid w:val="00CC6E4E"/>
    <w:rsid w:val="00CC6FE8"/>
    <w:rsid w:val="00CC7202"/>
    <w:rsid w:val="00CD0A38"/>
    <w:rsid w:val="00CD2808"/>
    <w:rsid w:val="00CD28BF"/>
    <w:rsid w:val="00CD4092"/>
    <w:rsid w:val="00CD4A20"/>
    <w:rsid w:val="00CD50A1"/>
    <w:rsid w:val="00CD519E"/>
    <w:rsid w:val="00CD69C6"/>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47F"/>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53A7"/>
    <w:rsid w:val="00D77031"/>
    <w:rsid w:val="00D84941"/>
    <w:rsid w:val="00D84FA1"/>
    <w:rsid w:val="00D851F0"/>
    <w:rsid w:val="00D86DB7"/>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5DB"/>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733"/>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1279"/>
    <w:rsid w:val="00E74313"/>
    <w:rsid w:val="00E744D1"/>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39B0"/>
    <w:rsid w:val="00EF7E72"/>
    <w:rsid w:val="00F06D37"/>
    <w:rsid w:val="00F07B9D"/>
    <w:rsid w:val="00F11586"/>
    <w:rsid w:val="00F1183B"/>
    <w:rsid w:val="00F11C9F"/>
    <w:rsid w:val="00F12263"/>
    <w:rsid w:val="00F1409D"/>
    <w:rsid w:val="00F14214"/>
    <w:rsid w:val="00F157A9"/>
    <w:rsid w:val="00F16F00"/>
    <w:rsid w:val="00F207DC"/>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87EBE"/>
    <w:rsid w:val="00F9108B"/>
    <w:rsid w:val="00F91349"/>
    <w:rsid w:val="00F93A8A"/>
    <w:rsid w:val="00F95248"/>
    <w:rsid w:val="00F956A9"/>
    <w:rsid w:val="00F963ED"/>
    <w:rsid w:val="00F966CF"/>
    <w:rsid w:val="00F96CAE"/>
    <w:rsid w:val="00F97C99"/>
    <w:rsid w:val="00FA2482"/>
    <w:rsid w:val="00FA662D"/>
    <w:rsid w:val="00FA73B1"/>
    <w:rsid w:val="00FB0CB9"/>
    <w:rsid w:val="00FB231D"/>
    <w:rsid w:val="00FB45F1"/>
    <w:rsid w:val="00FB4A72"/>
    <w:rsid w:val="00FB54E8"/>
    <w:rsid w:val="00FB7054"/>
    <w:rsid w:val="00FC17B7"/>
    <w:rsid w:val="00FC21D2"/>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AC15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0" w:name="toc 8"/>
    <w:lsdException w:uiPriority="0" w:name="toc 9"/>
    <w:lsdException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uiPriority w:val="39"/>
    <w:pPr>
      <w:tabs>
        <w:tab w:val="right" w:leader="dot" w:pos="9344"/>
      </w:tabs>
      <w:spacing w:line="300" w:lineRule="exact"/>
      <w:ind w:left="1259"/>
    </w:pPr>
    <w:rPr>
      <w:rFonts w:ascii="宋体"/>
    </w:rPr>
  </w:style>
  <w:style w:type="paragraph" w:styleId="12">
    <w:name w:val="Normal Indent"/>
    <w:basedOn w:val="1"/>
    <w:uiPriority w:val="0"/>
    <w:pPr>
      <w:ind w:firstLine="420"/>
    </w:pPr>
  </w:style>
  <w:style w:type="paragraph" w:styleId="13">
    <w:name w:val="Body Text"/>
    <w:basedOn w:val="1"/>
    <w:link w:val="86"/>
    <w:qFormat/>
    <w:uiPriority w:val="0"/>
    <w:pPr>
      <w:spacing w:after="120"/>
    </w:pPr>
  </w:style>
  <w:style w:type="paragraph" w:styleId="14">
    <w:name w:val="toc 5"/>
    <w:basedOn w:val="1"/>
    <w:next w:val="1"/>
    <w:autoRedefine/>
    <w:unhideWhenUsed/>
    <w:uiPriority w:val="39"/>
    <w:pPr>
      <w:ind w:left="839"/>
    </w:pPr>
    <w:rPr>
      <w:rFonts w:ascii="宋体"/>
    </w:rPr>
  </w:style>
  <w:style w:type="paragraph" w:styleId="15">
    <w:name w:val="toc 3"/>
    <w:basedOn w:val="1"/>
    <w:next w:val="1"/>
    <w:autoRedefine/>
    <w:unhideWhenUsed/>
    <w:uiPriority w:val="39"/>
    <w:pPr>
      <w:spacing w:line="300" w:lineRule="exact"/>
      <w:ind w:left="420"/>
    </w:pPr>
    <w:rPr>
      <w:rFonts w:ascii="宋体"/>
    </w:rPr>
  </w:style>
  <w:style w:type="paragraph" w:styleId="16">
    <w:name w:val="Balloon Text"/>
    <w:basedOn w:val="1"/>
    <w:link w:val="45"/>
    <w:semiHidden/>
    <w:unhideWhenUsed/>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uiPriority w:val="39"/>
    <w:rPr>
      <w:rFonts w:ascii="宋体"/>
    </w:rPr>
  </w:style>
  <w:style w:type="paragraph" w:styleId="20">
    <w:name w:val="toc 4"/>
    <w:basedOn w:val="1"/>
    <w:next w:val="1"/>
    <w:autoRedefine/>
    <w:unhideWhenUsed/>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semiHidden/>
    <w:uiPriority w:val="0"/>
    <w:pPr>
      <w:adjustRightInd/>
      <w:spacing w:line="240" w:lineRule="auto"/>
      <w:jc w:val="left"/>
    </w:pPr>
    <w:rPr>
      <w:szCs w:val="24"/>
    </w:rPr>
  </w:style>
  <w:style w:type="paragraph" w:styleId="24">
    <w:name w:val="toc 2"/>
    <w:basedOn w:val="1"/>
    <w:next w:val="1"/>
    <w:autoRedefine/>
    <w:unhideWhenUsed/>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uiPriority w:val="0"/>
    <w:rPr>
      <w:rFonts w:ascii="宋体" w:hAnsi="Times New Roman" w:eastAsia="宋体"/>
      <w:sz w:val="18"/>
    </w:rPr>
  </w:style>
  <w:style w:type="character" w:styleId="31">
    <w:name w:val="Emphasis"/>
    <w:qFormat/>
    <w:uiPriority w:val="20"/>
    <w:rPr>
      <w:i/>
      <w:iCs/>
    </w:rPr>
  </w:style>
  <w:style w:type="character" w:styleId="32">
    <w:name w:val="Hyperlink"/>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uiPriority w:val="29"/>
    <w:rPr>
      <w:i/>
      <w:iCs/>
      <w:color w:val="000000"/>
    </w:rPr>
  </w:style>
  <w:style w:type="character" w:customStyle="1" w:styleId="48">
    <w:name w:val="标题 Char"/>
    <w:link w:val="25"/>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uiPriority w:val="0"/>
    <w:pPr>
      <w:numPr>
        <w:ilvl w:val="3"/>
        <w:numId w:val="20"/>
      </w:numPr>
      <w:adjustRightInd/>
      <w:spacing w:line="240" w:lineRule="auto"/>
    </w:pPr>
    <w:rPr>
      <w:rFonts w:ascii="宋体" w:hAnsi="宋体"/>
      <w:szCs w:val="24"/>
    </w:rPr>
  </w:style>
  <w:style w:type="paragraph" w:customStyle="1" w:styleId="119">
    <w:name w:val="发布部门"/>
    <w:next w:val="56"/>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uiPriority w:val="0"/>
    <w:pPr>
      <w:outlineLvl w:val="4"/>
    </w:pPr>
  </w:style>
  <w:style w:type="paragraph" w:customStyle="1" w:styleId="130">
    <w:name w:val="附录四级无标题条"/>
    <w:basedOn w:val="129"/>
    <w:next w:val="56"/>
    <w:uiPriority w:val="0"/>
    <w:pPr>
      <w:outlineLvl w:val="5"/>
    </w:pPr>
  </w:style>
  <w:style w:type="paragraph" w:customStyle="1" w:styleId="131">
    <w:name w:val="附录图"/>
    <w:next w:val="56"/>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uiPriority w:val="0"/>
    <w:pPr>
      <w:outlineLvl w:val="6"/>
    </w:pPr>
  </w:style>
  <w:style w:type="paragraph" w:customStyle="1" w:styleId="134">
    <w:name w:val="附录性质"/>
    <w:basedOn w:val="1"/>
    <w:uiPriority w:val="0"/>
    <w:pPr>
      <w:widowControl/>
      <w:adjustRightInd/>
      <w:jc w:val="center"/>
    </w:pPr>
    <w:rPr>
      <w:rFonts w:ascii="黑体" w:eastAsia="黑体"/>
    </w:rPr>
  </w:style>
  <w:style w:type="paragraph" w:customStyle="1" w:styleId="135">
    <w:name w:val="附录一级无标题条"/>
    <w:basedOn w:val="87"/>
    <w:next w:val="56"/>
    <w:uiPriority w:val="0"/>
    <w:pPr>
      <w:autoSpaceDN w:val="0"/>
      <w:outlineLvl w:val="2"/>
    </w:pPr>
    <w:rPr>
      <w:rFonts w:ascii="宋体" w:hAnsi="宋体" w:eastAsia="宋体"/>
    </w:rPr>
  </w:style>
  <w:style w:type="character" w:customStyle="1" w:styleId="136">
    <w:name w:val="个人答复风格"/>
    <w:uiPriority w:val="0"/>
    <w:rPr>
      <w:rFonts w:ascii="Arial" w:hAnsi="Arial" w:eastAsia="宋体" w:cs="Arial"/>
      <w:color w:val="auto"/>
      <w:spacing w:val="0"/>
      <w:sz w:val="20"/>
    </w:rPr>
  </w:style>
  <w:style w:type="character" w:customStyle="1" w:styleId="137">
    <w:name w:val="个人撰写风格"/>
    <w:uiPriority w:val="0"/>
    <w:rPr>
      <w:rFonts w:ascii="Arial" w:hAnsi="Arial" w:eastAsia="宋体" w:cs="Arial"/>
      <w:color w:val="auto"/>
      <w:spacing w:val="0"/>
      <w:sz w:val="20"/>
    </w:rPr>
  </w:style>
  <w:style w:type="paragraph" w:customStyle="1" w:styleId="138">
    <w:name w:val="脚注后续"/>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uiPriority w:val="0"/>
    <w:pPr>
      <w:tabs>
        <w:tab w:val="left" w:pos="840"/>
      </w:tabs>
    </w:pPr>
  </w:style>
  <w:style w:type="paragraph" w:customStyle="1" w:styleId="141">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uiPriority w:val="0"/>
    <w:pPr>
      <w:adjustRightInd/>
      <w:spacing w:line="240" w:lineRule="auto"/>
      <w:jc w:val="left"/>
    </w:pPr>
  </w:style>
  <w:style w:type="paragraph" w:customStyle="1" w:styleId="147">
    <w:name w:val="目录 71"/>
    <w:basedOn w:val="146"/>
    <w:autoRedefine/>
    <w:semiHidden/>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uiPriority w:val="0"/>
    <w:pPr>
      <w:framePr w:wrap="around"/>
      <w:spacing w:line="0" w:lineRule="atLeast"/>
    </w:pPr>
    <w:rPr>
      <w:rFonts w:ascii="黑体" w:eastAsia="黑体"/>
      <w:b w:val="0"/>
    </w:rPr>
  </w:style>
  <w:style w:type="paragraph" w:customStyle="1" w:styleId="152">
    <w:name w:val="前言标题"/>
    <w:next w:val="1"/>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uiPriority w:val="0"/>
    <w:pPr>
      <w:numPr>
        <w:ilvl w:val="4"/>
        <w:numId w:val="20"/>
      </w:numPr>
      <w:adjustRightInd/>
      <w:spacing w:line="240" w:lineRule="auto"/>
    </w:pPr>
    <w:rPr>
      <w:rFonts w:ascii="宋体" w:hAnsi="宋体"/>
      <w:szCs w:val="24"/>
    </w:rPr>
  </w:style>
  <w:style w:type="paragraph" w:customStyle="1" w:styleId="154">
    <w:name w:val="实施日期"/>
    <w:basedOn w:val="120"/>
    <w:uiPriority w:val="0"/>
    <w:pPr>
      <w:framePr w:hSpace="0" w:wrap="around" w:xAlign="right"/>
      <w:jc w:val="right"/>
    </w:pPr>
  </w:style>
  <w:style w:type="paragraph" w:customStyle="1" w:styleId="155">
    <w:name w:val="四级无标题条"/>
    <w:basedOn w:val="1"/>
    <w:uiPriority w:val="0"/>
    <w:pPr>
      <w:numPr>
        <w:ilvl w:val="5"/>
        <w:numId w:val="20"/>
      </w:numPr>
      <w:adjustRightInd/>
      <w:spacing w:line="240" w:lineRule="auto"/>
    </w:pPr>
    <w:rPr>
      <w:rFonts w:ascii="宋体" w:hAnsi="宋体"/>
      <w:szCs w:val="24"/>
    </w:rPr>
  </w:style>
  <w:style w:type="paragraph" w:customStyle="1" w:styleId="156">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uiPriority w:val="0"/>
    <w:pPr>
      <w:jc w:val="both"/>
    </w:pPr>
    <w:rPr>
      <w:rFonts w:ascii="宋体" w:hAnsi="宋体" w:eastAsia="宋体" w:cs="Times New Roman"/>
      <w:sz w:val="21"/>
      <w:lang w:val="en-US" w:eastAsia="zh-CN" w:bidi="ar-SA"/>
    </w:rPr>
  </w:style>
  <w:style w:type="paragraph" w:customStyle="1" w:styleId="158">
    <w:name w:val="五级无标题条"/>
    <w:basedOn w:val="1"/>
    <w:uiPriority w:val="0"/>
    <w:pPr>
      <w:numPr>
        <w:ilvl w:val="6"/>
        <w:numId w:val="20"/>
      </w:numPr>
      <w:adjustRightInd/>
    </w:pPr>
    <w:rPr>
      <w:szCs w:val="24"/>
    </w:rPr>
  </w:style>
  <w:style w:type="paragraph" w:customStyle="1" w:styleId="159">
    <w:name w:val="一级无标题条"/>
    <w:basedOn w:val="1"/>
    <w:uiPriority w:val="0"/>
    <w:pPr>
      <w:numPr>
        <w:ilvl w:val="2"/>
        <w:numId w:val="20"/>
      </w:numPr>
      <w:adjustRightInd/>
      <w:spacing w:before="10" w:after="10" w:line="240" w:lineRule="auto"/>
    </w:pPr>
    <w:rPr>
      <w:rFonts w:ascii="宋体" w:hAnsi="宋体"/>
      <w:szCs w:val="24"/>
    </w:rPr>
  </w:style>
  <w:style w:type="paragraph" w:customStyle="1" w:styleId="160">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uiPriority w:val="0"/>
    <w:rPr>
      <w:rFonts w:ascii="宋体" w:hAnsi="Times New Roman" w:eastAsia="宋体" w:cs="Times New Roman"/>
      <w:sz w:val="21"/>
      <w:lang w:val="en-US" w:eastAsia="zh-CN" w:bidi="ar-SA"/>
    </w:rPr>
  </w:style>
  <w:style w:type="paragraph" w:customStyle="1" w:styleId="172">
    <w:name w:val="标准文件_三级项"/>
    <w:basedOn w:val="1"/>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uiPriority w:val="0"/>
    <w:pPr>
      <w:framePr w:w="3997" w:h="471" w:hRule="exact" w:hSpace="0" w:vSpace="181" w:wrap="around" w:vAnchor="page" w:hAnchor="page" w:x="1419" w:y="14097"/>
    </w:pPr>
  </w:style>
  <w:style w:type="paragraph" w:customStyle="1" w:styleId="194">
    <w:name w:val="其他实施日期"/>
    <w:basedOn w:val="154"/>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BB7EB0F4BC34A98BE353E14F0F13A77"/>
        <w:style w:val=""/>
        <w:category>
          <w:name w:val="常规"/>
          <w:gallery w:val="placeholder"/>
        </w:category>
        <w:types>
          <w:type w:val="bbPlcHdr"/>
        </w:types>
        <w:behaviors>
          <w:behavior w:val="content"/>
        </w:behaviors>
        <w:description w:val=""/>
        <w:guid w:val="{781A08E0-6D84-4078-9470-2B566AC47923}"/>
      </w:docPartPr>
      <w:docPartBody>
        <w:p>
          <w:pPr>
            <w:pStyle w:val="5"/>
          </w:pPr>
          <w:r>
            <w:rPr>
              <w:rStyle w:val="4"/>
              <w:rFonts w:hint="eastAsia"/>
            </w:rPr>
            <w:t>单击或点击此处输入文字。</w:t>
          </w:r>
        </w:p>
      </w:docPartBody>
    </w:docPart>
    <w:docPart>
      <w:docPartPr>
        <w:name w:val="3C6DF103C9A64912B972B8E514DE0491"/>
        <w:style w:val=""/>
        <w:category>
          <w:name w:val="常规"/>
          <w:gallery w:val="placeholder"/>
        </w:category>
        <w:types>
          <w:type w:val="bbPlcHdr"/>
        </w:types>
        <w:behaviors>
          <w:behavior w:val="content"/>
        </w:behaviors>
        <w:description w:val=""/>
        <w:guid w:val="{021FDC1A-FD50-4BC5-8066-29AE646A4C58}"/>
      </w:docPartPr>
      <w:docPartBody>
        <w:p>
          <w:pPr>
            <w:pStyle w:val="6"/>
          </w:pPr>
          <w:r>
            <w:rPr>
              <w:rStyle w:val="4"/>
              <w:rFonts w:hint="eastAsia"/>
            </w:rPr>
            <w:t>选择一项。</w:t>
          </w:r>
        </w:p>
      </w:docPartBody>
    </w:docPart>
    <w:docPart>
      <w:docPartPr>
        <w:name w:val="2A4594E3786B4135BFB410C5AAC0BEAC"/>
        <w:style w:val=""/>
        <w:category>
          <w:name w:val="常规"/>
          <w:gallery w:val="placeholder"/>
        </w:category>
        <w:types>
          <w:type w:val="bbPlcHdr"/>
        </w:types>
        <w:behaviors>
          <w:behavior w:val="content"/>
        </w:behaviors>
        <w:description w:val=""/>
        <w:guid w:val="{54690011-3499-4954-835B-547EC2D0502B}"/>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A48"/>
    <w:rsid w:val="0002408B"/>
    <w:rsid w:val="0007104B"/>
    <w:rsid w:val="000C1D0E"/>
    <w:rsid w:val="0014465D"/>
    <w:rsid w:val="00225FFD"/>
    <w:rsid w:val="009527FD"/>
    <w:rsid w:val="00DB3A48"/>
    <w:rsid w:val="00F5750F"/>
    <w:rsid w:val="00FB3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BB7EB0F4BC34A98BE353E14F0F13A7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C6DF103C9A64912B972B8E514DE049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A4594E3786B4135BFB410C5AAC0BEAC"/>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0DE34C-728F-4BCA-89E5-3C17A6572528}">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9</Pages>
  <Words>3267</Words>
  <Characters>3636</Characters>
  <Lines>39</Lines>
  <Paragraphs>11</Paragraphs>
  <TotalTime>732</TotalTime>
  <ScaleCrop>false</ScaleCrop>
  <LinksUpToDate>false</LinksUpToDate>
  <CharactersWithSpaces>3741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2024-08-16T05:52:00Z</dcterms:created>
  <dc:creator>孟露露</dc:creator>
  <dc:description>&lt;config cover="true" show_menu="true" version="1.0.0" doctype="SDKXY"&gt;_x000d_
&lt;/config&gt;</dc:description>
  <cp:lastModifiedBy>Administrator</cp:lastModifiedBy>
  <cp:lastPrinted>2021-02-02T08:22:00Z</cp:lastPrinted>
  <dcterms:modified xsi:type="dcterms:W3CDTF">2024-08-23T06:20:42Z</dcterms:modified>
  <dc:title>团体标准</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2052-12.1.0.16929</vt:lpwstr>
  </property>
  <property fmtid="{D5CDD505-2E9C-101B-9397-08002B2CF9AE}" pid="15" name="ICV">
    <vt:lpwstr>29582110E2FB45F599A5F6E89EA1813F_12</vt:lpwstr>
  </property>
</Properties>
</file>