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
        <w:ind w:right="493"/>
        <w:jc w:val="center"/>
        <w:rPr>
          <w:rFonts w:hint="default" w:ascii="Times New Roman" w:hAnsi="Times New Roman" w:cs="Times New Roman"/>
          <w:b/>
          <w:bCs/>
          <w:sz w:val="32"/>
          <w:szCs w:val="32"/>
          <w:lang w:val="en-US" w:eastAsia="zh-CN"/>
        </w:rPr>
      </w:pPr>
      <w:r>
        <w:rPr>
          <w:rFonts w:hint="default" w:ascii="Times New Roman" w:hAnsi="Times New Roman" w:cs="Times New Roman"/>
          <w:b/>
          <w:bCs/>
          <w:sz w:val="32"/>
          <w:szCs w:val="32"/>
          <w:lang w:val="en-US" w:eastAsia="zh-CN"/>
        </w:rPr>
        <w:t>《石油污染土壤微生物修复技术规范》团体标准</w:t>
      </w:r>
    </w:p>
    <w:p>
      <w:pPr>
        <w:jc w:val="center"/>
        <w:rPr>
          <w:rFonts w:hint="default" w:ascii="Times New Roman" w:hAnsi="Times New Roman" w:cs="Times New Roman"/>
          <w:b/>
          <w:bCs/>
          <w:sz w:val="32"/>
          <w:szCs w:val="32"/>
          <w:lang w:val="en-US" w:eastAsia="zh-CN"/>
        </w:rPr>
      </w:pPr>
      <w:r>
        <w:rPr>
          <w:rFonts w:hint="default" w:ascii="Times New Roman" w:hAnsi="Times New Roman" w:cs="Times New Roman"/>
          <w:b/>
          <w:bCs/>
          <w:sz w:val="32"/>
          <w:szCs w:val="32"/>
          <w:lang w:val="en-US" w:eastAsia="zh-CN"/>
        </w:rPr>
        <w:t>编制说明</w:t>
      </w:r>
    </w:p>
    <w:p>
      <w:pPr>
        <w:jc w:val="center"/>
        <w:rPr>
          <w:rFonts w:hint="default" w:ascii="Times New Roman" w:hAnsi="Times New Roman" w:cs="Times New Roman"/>
          <w:b/>
          <w:bCs/>
          <w:sz w:val="32"/>
          <w:szCs w:val="32"/>
          <w:lang w:val="en-US" w:eastAsia="zh-CN"/>
        </w:rPr>
      </w:pPr>
    </w:p>
    <w:p>
      <w:pPr>
        <w:numPr>
          <w:ilvl w:val="0"/>
          <w:numId w:val="1"/>
        </w:numPr>
        <w:rPr>
          <w:rFonts w:hint="default" w:ascii="Times New Roman" w:hAnsi="Times New Roman" w:cs="Times New Roman"/>
          <w:color w:val="000000"/>
          <w:spacing w:val="10"/>
          <w:sz w:val="24"/>
          <w:szCs w:val="24"/>
        </w:rPr>
      </w:pPr>
      <w:r>
        <w:rPr>
          <w:rFonts w:hint="default" w:ascii="Times New Roman" w:hAnsi="Times New Roman" w:cs="Times New Roman"/>
          <w:b/>
          <w:bCs/>
          <w:sz w:val="28"/>
          <w:szCs w:val="28"/>
          <w:lang w:val="en-US" w:eastAsia="zh-CN"/>
        </w:rPr>
        <w:t>项目背景</w:t>
      </w:r>
    </w:p>
    <w:p>
      <w:pPr>
        <w:keepNext w:val="0"/>
        <w:keepLines w:val="0"/>
        <w:pageBreakBefore w:val="0"/>
        <w:widowControl w:val="0"/>
        <w:kinsoku/>
        <w:wordWrap/>
        <w:overflowPunct/>
        <w:topLinePunct w:val="0"/>
        <w:autoSpaceDE/>
        <w:autoSpaceDN/>
        <w:bidi w:val="0"/>
        <w:adjustRightInd/>
        <w:snapToGrid/>
        <w:spacing w:line="360" w:lineRule="auto"/>
        <w:ind w:firstLine="520" w:firstLineChars="200"/>
        <w:textAlignment w:val="auto"/>
        <w:rPr>
          <w:rFonts w:hint="eastAsia" w:ascii="Times New Roman" w:hAnsi="Times New Roman" w:cs="Times New Roman"/>
          <w:color w:val="000000"/>
          <w:spacing w:val="10"/>
          <w:sz w:val="24"/>
          <w:szCs w:val="24"/>
        </w:rPr>
      </w:pPr>
      <w:r>
        <w:rPr>
          <w:rFonts w:hint="eastAsia" w:ascii="Times New Roman" w:hAnsi="Times New Roman" w:cs="Times New Roman"/>
          <w:color w:val="000000"/>
          <w:spacing w:val="10"/>
          <w:sz w:val="24"/>
          <w:szCs w:val="24"/>
        </w:rPr>
        <w:t>随着经济快速发展，石油作为人类最重要的能源之一，污染问题日益严重，引起各国专家的关注。石油污染土壤属于危险废物，量大面广，关乎国家环境安全，已被国务院列为《土壤污染防治行动计划》中的重点监管内容。石油污染土壤修复既是油田环境保护的世界性瓶颈难题，也是衡量国家污染土壤治理技术水平的标志。</w:t>
      </w:r>
      <w:r>
        <w:rPr>
          <w:rFonts w:hint="eastAsia" w:ascii="Times New Roman" w:hAnsi="Times New Roman" w:cs="Times New Roman"/>
          <w:color w:val="000000"/>
          <w:spacing w:val="10"/>
          <w:sz w:val="24"/>
          <w:szCs w:val="24"/>
          <w:lang w:val="en-US" w:eastAsia="zh-CN"/>
        </w:rPr>
        <w:t>据统计，</w:t>
      </w:r>
      <w:r>
        <w:rPr>
          <w:rFonts w:hint="default" w:ascii="Times New Roman" w:hAnsi="Times New Roman" w:cs="Times New Roman"/>
          <w:color w:val="000000"/>
          <w:spacing w:val="10"/>
          <w:sz w:val="24"/>
          <w:szCs w:val="24"/>
        </w:rPr>
        <w:t>我国油田石油污染土壤面积超过3亿m</w:t>
      </w:r>
      <w:r>
        <w:rPr>
          <w:rFonts w:hint="default" w:ascii="Times New Roman" w:hAnsi="Times New Roman" w:cs="Times New Roman"/>
          <w:color w:val="000000"/>
          <w:spacing w:val="10"/>
          <w:sz w:val="24"/>
          <w:szCs w:val="24"/>
          <w:vertAlign w:val="superscript"/>
        </w:rPr>
        <w:t>2</w:t>
      </w:r>
      <w:r>
        <w:rPr>
          <w:rFonts w:hint="default" w:ascii="Times New Roman" w:hAnsi="Times New Roman" w:cs="Times New Roman"/>
          <w:color w:val="000000"/>
          <w:spacing w:val="10"/>
          <w:sz w:val="24"/>
          <w:szCs w:val="24"/>
        </w:rPr>
        <w:t>，</w:t>
      </w:r>
      <w:r>
        <w:rPr>
          <w:rFonts w:hint="eastAsia" w:ascii="Times New Roman" w:hAnsi="Times New Roman" w:cs="Times New Roman"/>
          <w:color w:val="000000"/>
          <w:spacing w:val="10"/>
          <w:sz w:val="24"/>
          <w:szCs w:val="24"/>
        </w:rPr>
        <w:t>仅胜利</w:t>
      </w:r>
      <w:r>
        <w:rPr>
          <w:rFonts w:hint="default" w:ascii="Times New Roman" w:hAnsi="Times New Roman" w:cs="Times New Roman"/>
          <w:color w:val="000000"/>
          <w:spacing w:val="10"/>
          <w:sz w:val="24"/>
          <w:szCs w:val="24"/>
        </w:rPr>
        <w:t>油田</w:t>
      </w:r>
      <w:r>
        <w:rPr>
          <w:rFonts w:hint="eastAsia" w:ascii="Times New Roman" w:hAnsi="Times New Roman" w:cs="Times New Roman"/>
          <w:color w:val="000000"/>
          <w:spacing w:val="10"/>
          <w:sz w:val="24"/>
          <w:szCs w:val="24"/>
        </w:rPr>
        <w:t>采油区的</w:t>
      </w:r>
      <w:r>
        <w:rPr>
          <w:rFonts w:hint="default" w:ascii="Times New Roman" w:hAnsi="Times New Roman" w:cs="Times New Roman"/>
          <w:color w:val="000000"/>
          <w:spacing w:val="10"/>
          <w:sz w:val="24"/>
          <w:szCs w:val="24"/>
        </w:rPr>
        <w:t>石油污染土壤面积超过</w:t>
      </w:r>
      <w:r>
        <w:rPr>
          <w:rFonts w:hint="eastAsia" w:ascii="Times New Roman" w:hAnsi="Times New Roman" w:cs="Times New Roman"/>
          <w:color w:val="000000"/>
          <w:spacing w:val="10"/>
          <w:sz w:val="24"/>
          <w:szCs w:val="24"/>
        </w:rPr>
        <w:t>5000万</w:t>
      </w:r>
      <w:r>
        <w:rPr>
          <w:rFonts w:hint="default" w:ascii="Times New Roman" w:hAnsi="Times New Roman" w:cs="Times New Roman"/>
          <w:color w:val="000000"/>
          <w:spacing w:val="10"/>
          <w:sz w:val="24"/>
          <w:szCs w:val="24"/>
        </w:rPr>
        <w:t>m</w:t>
      </w:r>
      <w:r>
        <w:rPr>
          <w:rFonts w:hint="default" w:ascii="Times New Roman" w:hAnsi="Times New Roman" w:cs="Times New Roman"/>
          <w:color w:val="000000"/>
          <w:spacing w:val="10"/>
          <w:sz w:val="24"/>
          <w:szCs w:val="24"/>
          <w:vertAlign w:val="superscript"/>
        </w:rPr>
        <w:t>2</w:t>
      </w:r>
      <w:r>
        <w:rPr>
          <w:rFonts w:hint="eastAsia" w:ascii="Times New Roman" w:hAnsi="Times New Roman" w:cs="Times New Roman"/>
          <w:color w:val="000000"/>
          <w:spacing w:val="10"/>
          <w:sz w:val="24"/>
          <w:szCs w:val="24"/>
        </w:rPr>
        <w:t>，且</w:t>
      </w:r>
      <w:r>
        <w:rPr>
          <w:rFonts w:hint="default" w:ascii="Times New Roman" w:hAnsi="Times New Roman" w:cs="Times New Roman"/>
          <w:color w:val="000000"/>
          <w:spacing w:val="10"/>
          <w:sz w:val="24"/>
          <w:szCs w:val="24"/>
        </w:rPr>
        <w:t>呈增长态势，</w:t>
      </w:r>
      <w:r>
        <w:rPr>
          <w:rFonts w:hint="eastAsia" w:ascii="Times New Roman" w:hAnsi="Times New Roman" w:cs="Times New Roman"/>
          <w:color w:val="000000"/>
          <w:spacing w:val="10"/>
          <w:sz w:val="24"/>
          <w:szCs w:val="24"/>
        </w:rPr>
        <w:t>导致该区域</w:t>
      </w:r>
      <w:r>
        <w:rPr>
          <w:rFonts w:hint="default" w:ascii="Times New Roman" w:hAnsi="Times New Roman" w:cs="Times New Roman"/>
          <w:color w:val="000000"/>
          <w:spacing w:val="10"/>
          <w:sz w:val="24"/>
          <w:szCs w:val="24"/>
        </w:rPr>
        <w:t>生态环境质量持续下降，对我省黄河流域生态保护和高质量发展带来巨大挑战。</w:t>
      </w:r>
      <w:r>
        <w:rPr>
          <w:rFonts w:hint="eastAsia" w:ascii="Times New Roman" w:hAnsi="Times New Roman" w:cs="Times New Roman"/>
          <w:color w:val="000000"/>
          <w:spacing w:val="10"/>
          <w:sz w:val="24"/>
          <w:szCs w:val="24"/>
        </w:rPr>
        <w:t>目前国际上处置高浓度石油污染土壤的产业化项目中，大多采用回收土壤中部分残余石油成分，剩余残渣采取焚烧、热裂解、生物降解、垫井场等方式进行处置。处置方法仍然存在产生二次污染或利用率不高的问题。采用焚烧的方式处理高浓度石油污染土壤的过程中易生成二噁英等污染物，由于高浓度石油污染土壤中的大量水分导致燃烧系统的热值降低。国内处理方式主要有填埋、浓缩脱水、固化处理、化学除油、催化裂解或建材利用等。目前，国内对于高浓度石油污染土壤的处理和再利用仍处于实验研究和中试阶段，尚缺乏完善可靠的技术、工艺，缺少典型示范工程。相比于物理修复、化学修复而言，微生物修复具有成本低、无二次污染、不破坏土壤环境、处理效果好等特点，已在世界范围内得到广泛应用。</w:t>
      </w:r>
    </w:p>
    <w:p>
      <w:pPr>
        <w:keepNext w:val="0"/>
        <w:keepLines w:val="0"/>
        <w:pageBreakBefore w:val="0"/>
        <w:widowControl w:val="0"/>
        <w:kinsoku/>
        <w:wordWrap/>
        <w:overflowPunct/>
        <w:topLinePunct w:val="0"/>
        <w:autoSpaceDE/>
        <w:autoSpaceDN/>
        <w:bidi w:val="0"/>
        <w:adjustRightInd/>
        <w:snapToGrid/>
        <w:spacing w:line="360" w:lineRule="auto"/>
        <w:ind w:firstLine="520" w:firstLineChars="200"/>
        <w:textAlignment w:val="auto"/>
        <w:rPr>
          <w:rFonts w:hint="default" w:ascii="Times New Roman" w:hAnsi="Times New Roman" w:cs="Times New Roman"/>
          <w:color w:val="000000"/>
          <w:spacing w:val="10"/>
          <w:sz w:val="24"/>
          <w:szCs w:val="24"/>
          <w:lang w:val="en-US" w:eastAsia="zh-CN"/>
        </w:rPr>
      </w:pPr>
      <w:r>
        <w:rPr>
          <w:rFonts w:hint="eastAsia" w:ascii="Times New Roman" w:hAnsi="Times New Roman" w:cs="Times New Roman"/>
          <w:color w:val="000000"/>
          <w:spacing w:val="10"/>
          <w:sz w:val="24"/>
          <w:szCs w:val="24"/>
          <w:lang w:val="en-US" w:eastAsia="zh-CN"/>
        </w:rPr>
        <w:t>国内缺乏关于石油污染土壤微生物修复的国家和地方标准，仅有行业标准</w:t>
      </w:r>
      <w:r>
        <w:rPr>
          <w:rFonts w:hint="default" w:ascii="Times New Roman" w:hAnsi="Times New Roman" w:cs="Times New Roman"/>
          <w:color w:val="000000"/>
          <w:spacing w:val="10"/>
          <w:sz w:val="24"/>
          <w:szCs w:val="24"/>
          <w:lang w:val="en-US" w:eastAsia="zh-CN"/>
        </w:rPr>
        <w:t>HY/T 0286-2020</w:t>
      </w:r>
      <w:r>
        <w:rPr>
          <w:rFonts w:hint="eastAsia" w:ascii="Times New Roman" w:hAnsi="Times New Roman" w:cs="Times New Roman"/>
          <w:color w:val="000000"/>
          <w:spacing w:val="10"/>
          <w:sz w:val="24"/>
          <w:szCs w:val="24"/>
          <w:lang w:val="en-US" w:eastAsia="zh-CN"/>
        </w:rPr>
        <w:t>《</w:t>
      </w:r>
      <w:r>
        <w:rPr>
          <w:rFonts w:hint="default" w:ascii="Times New Roman" w:hAnsi="Times New Roman" w:cs="Times New Roman"/>
          <w:color w:val="000000"/>
          <w:spacing w:val="10"/>
          <w:sz w:val="24"/>
          <w:szCs w:val="24"/>
          <w:lang w:val="en-US" w:eastAsia="zh-CN"/>
        </w:rPr>
        <w:t>海洋岸滩石油污染微生物修复指南</w:t>
      </w:r>
      <w:r>
        <w:rPr>
          <w:rFonts w:hint="eastAsia" w:ascii="Times New Roman" w:hAnsi="Times New Roman" w:cs="Times New Roman"/>
          <w:color w:val="000000"/>
          <w:spacing w:val="10"/>
          <w:sz w:val="24"/>
          <w:szCs w:val="24"/>
          <w:lang w:val="en-US" w:eastAsia="zh-CN"/>
        </w:rPr>
        <w:t>》是国家自然资源部发部，是</w:t>
      </w:r>
      <w:r>
        <w:rPr>
          <w:rFonts w:hint="default" w:ascii="Times New Roman" w:hAnsi="Times New Roman" w:cs="Times New Roman"/>
          <w:color w:val="000000"/>
          <w:spacing w:val="10"/>
          <w:sz w:val="24"/>
          <w:szCs w:val="24"/>
          <w:lang w:val="en-US" w:eastAsia="zh-CN"/>
        </w:rPr>
        <w:t>目前</w:t>
      </w:r>
      <w:r>
        <w:rPr>
          <w:rFonts w:hint="eastAsia" w:ascii="Times New Roman" w:hAnsi="Times New Roman" w:cs="Times New Roman"/>
          <w:color w:val="000000"/>
          <w:spacing w:val="10"/>
          <w:sz w:val="24"/>
          <w:szCs w:val="24"/>
          <w:lang w:val="en-US" w:eastAsia="zh-CN"/>
        </w:rPr>
        <w:t>唯一可借鉴的</w:t>
      </w:r>
      <w:r>
        <w:rPr>
          <w:rFonts w:hint="default" w:ascii="Times New Roman" w:hAnsi="Times New Roman" w:cs="Times New Roman"/>
          <w:color w:val="000000"/>
          <w:spacing w:val="10"/>
          <w:sz w:val="24"/>
          <w:szCs w:val="24"/>
          <w:lang w:val="en-US" w:eastAsia="zh-CN"/>
        </w:rPr>
        <w:t>石油污染土壤微生物修复</w:t>
      </w:r>
      <w:r>
        <w:rPr>
          <w:rFonts w:hint="eastAsia" w:ascii="Times New Roman" w:hAnsi="Times New Roman" w:cs="Times New Roman"/>
          <w:color w:val="000000"/>
          <w:spacing w:val="10"/>
          <w:sz w:val="24"/>
          <w:szCs w:val="24"/>
          <w:lang w:val="en-US" w:eastAsia="zh-CN"/>
        </w:rPr>
        <w:t>指南</w:t>
      </w:r>
      <w:r>
        <w:rPr>
          <w:rFonts w:hint="default" w:ascii="Times New Roman" w:hAnsi="Times New Roman" w:cs="Times New Roman"/>
          <w:color w:val="000000"/>
          <w:spacing w:val="10"/>
          <w:sz w:val="24"/>
          <w:szCs w:val="24"/>
          <w:lang w:val="en-US" w:eastAsia="zh-CN"/>
        </w:rPr>
        <w:t>。</w:t>
      </w:r>
      <w:r>
        <w:rPr>
          <w:rFonts w:hint="eastAsia" w:ascii="Times New Roman" w:hAnsi="Times New Roman" w:cs="Times New Roman"/>
          <w:color w:val="000000"/>
          <w:spacing w:val="10"/>
          <w:sz w:val="24"/>
          <w:szCs w:val="24"/>
          <w:lang w:val="en-US" w:eastAsia="zh-CN"/>
        </w:rPr>
        <w:t>但该标准仅限于石油污染的海岸线的原位修复，市场上急需一种能够指导陆地上出现的石油污染土壤如何采用微生物修复技术开展修复工作，修复后可以通过哪些途径进行再次利用的统一权威标准。</w:t>
      </w:r>
    </w:p>
    <w:p>
      <w:pPr>
        <w:keepNext w:val="0"/>
        <w:keepLines w:val="0"/>
        <w:pageBreakBefore w:val="0"/>
        <w:widowControl w:val="0"/>
        <w:kinsoku/>
        <w:wordWrap/>
        <w:overflowPunct/>
        <w:topLinePunct w:val="0"/>
        <w:autoSpaceDE/>
        <w:autoSpaceDN/>
        <w:bidi w:val="0"/>
        <w:adjustRightInd/>
        <w:snapToGrid/>
        <w:spacing w:line="360" w:lineRule="auto"/>
        <w:ind w:firstLine="520" w:firstLineChars="200"/>
        <w:textAlignment w:val="auto"/>
        <w:rPr>
          <w:rFonts w:hint="default" w:ascii="Times New Roman" w:hAnsi="Times New Roman" w:cs="Times New Roman"/>
          <w:color w:val="000000"/>
          <w:spacing w:val="10"/>
          <w:sz w:val="24"/>
          <w:szCs w:val="24"/>
          <w:lang w:val="en-US" w:eastAsia="zh-CN"/>
        </w:rPr>
      </w:pPr>
      <w:r>
        <w:rPr>
          <w:rFonts w:hint="default" w:ascii="Times New Roman" w:hAnsi="Times New Roman" w:cs="Times New Roman"/>
          <w:color w:val="000000"/>
          <w:spacing w:val="10"/>
          <w:sz w:val="24"/>
          <w:szCs w:val="24"/>
          <w:lang w:val="en-US" w:eastAsia="zh-CN"/>
        </w:rPr>
        <w:t>所以，制定《石油污染土壤微生物修复技术规范》团体标准势在必行。</w:t>
      </w:r>
    </w:p>
    <w:p>
      <w:pPr>
        <w:numPr>
          <w:ilvl w:val="0"/>
          <w:numId w:val="1"/>
        </w:numPr>
        <w:rPr>
          <w:rFonts w:hint="default" w:ascii="Times New Roman" w:hAnsi="Times New Roman" w:cs="Times New Roman"/>
          <w:b/>
          <w:bCs/>
          <w:sz w:val="28"/>
          <w:szCs w:val="28"/>
          <w:lang w:val="en-US" w:eastAsia="zh-CN"/>
        </w:rPr>
      </w:pPr>
      <w:r>
        <w:rPr>
          <w:rFonts w:hint="default" w:ascii="Times New Roman" w:hAnsi="Times New Roman" w:cs="Times New Roman"/>
          <w:b/>
          <w:bCs/>
          <w:sz w:val="28"/>
          <w:szCs w:val="28"/>
          <w:lang w:val="en-US" w:eastAsia="zh-CN"/>
        </w:rPr>
        <w:t>制定标准的必要性和意义</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561"/>
        <w:textAlignment w:val="auto"/>
        <w:rPr>
          <w:rFonts w:hint="default" w:ascii="Times New Roman" w:hAnsi="Times New Roman" w:cs="Times New Roman"/>
          <w:color w:val="000000"/>
          <w:spacing w:val="10"/>
          <w:sz w:val="24"/>
          <w:szCs w:val="24"/>
          <w:lang w:val="en-US" w:eastAsia="zh-CN"/>
        </w:rPr>
      </w:pPr>
      <w:r>
        <w:rPr>
          <w:rFonts w:hint="default" w:ascii="Times New Roman" w:hAnsi="Times New Roman" w:cs="Times New Roman"/>
          <w:color w:val="000000"/>
          <w:spacing w:val="10"/>
          <w:sz w:val="24"/>
          <w:szCs w:val="24"/>
          <w:lang w:val="en-US" w:eastAsia="zh-CN"/>
        </w:rPr>
        <w:t>我会前期对这个新兴</w:t>
      </w:r>
      <w:r>
        <w:rPr>
          <w:rFonts w:hint="eastAsia" w:ascii="Times New Roman" w:hAnsi="Times New Roman" w:cs="Times New Roman"/>
          <w:color w:val="000000"/>
          <w:spacing w:val="10"/>
          <w:sz w:val="24"/>
          <w:szCs w:val="24"/>
          <w:lang w:val="en-US" w:eastAsia="zh-CN"/>
        </w:rPr>
        <w:t>修复技术</w:t>
      </w:r>
      <w:r>
        <w:rPr>
          <w:rFonts w:hint="default" w:ascii="Times New Roman" w:hAnsi="Times New Roman" w:cs="Times New Roman"/>
          <w:color w:val="000000"/>
          <w:spacing w:val="10"/>
          <w:sz w:val="24"/>
          <w:szCs w:val="24"/>
          <w:lang w:val="en-US" w:eastAsia="zh-CN"/>
        </w:rPr>
        <w:t>进行了较为详实的调研，形成了对这个</w:t>
      </w:r>
      <w:r>
        <w:rPr>
          <w:rFonts w:hint="eastAsia" w:ascii="Times New Roman" w:hAnsi="Times New Roman" w:cs="Times New Roman"/>
          <w:color w:val="000000"/>
          <w:spacing w:val="10"/>
          <w:sz w:val="24"/>
          <w:szCs w:val="24"/>
          <w:lang w:val="en-US" w:eastAsia="zh-CN"/>
        </w:rPr>
        <w:t>修技术艺</w:t>
      </w:r>
      <w:r>
        <w:rPr>
          <w:rFonts w:hint="default" w:ascii="Times New Roman" w:hAnsi="Times New Roman" w:cs="Times New Roman"/>
          <w:color w:val="000000"/>
          <w:spacing w:val="10"/>
          <w:sz w:val="24"/>
          <w:szCs w:val="24"/>
          <w:lang w:val="en-US" w:eastAsia="zh-CN"/>
        </w:rPr>
        <w:t>发展轨迹和现状的初步判断</w:t>
      </w:r>
      <w:r>
        <w:rPr>
          <w:rFonts w:hint="eastAsia" w:ascii="Times New Roman" w:hAnsi="Times New Roman" w:cs="Times New Roman"/>
          <w:color w:val="000000"/>
          <w:spacing w:val="10"/>
          <w:sz w:val="24"/>
          <w:szCs w:val="24"/>
          <w:lang w:val="en-US" w:eastAsia="zh-CN"/>
        </w:rPr>
        <w:t>。</w:t>
      </w:r>
      <w:r>
        <w:rPr>
          <w:rFonts w:hint="default" w:ascii="Times New Roman" w:hAnsi="Times New Roman" w:cs="Times New Roman"/>
          <w:color w:val="000000"/>
          <w:spacing w:val="10"/>
          <w:sz w:val="24"/>
          <w:szCs w:val="24"/>
          <w:lang w:val="en-US" w:eastAsia="zh-CN"/>
        </w:rPr>
        <w:t>目前，</w:t>
      </w:r>
      <w:r>
        <w:rPr>
          <w:rFonts w:hint="eastAsia" w:ascii="Times New Roman" w:hAnsi="Times New Roman" w:cs="Times New Roman"/>
          <w:color w:val="000000"/>
          <w:spacing w:val="10"/>
          <w:sz w:val="24"/>
          <w:szCs w:val="24"/>
          <w:lang w:val="en-US" w:eastAsia="zh-CN"/>
        </w:rPr>
        <w:t>针对石油污染土壤，传统的热处理技术存在成本高、易产生二次污染，处里后的灰渣仍需填埋等问题，</w:t>
      </w:r>
      <w:r>
        <w:rPr>
          <w:rFonts w:hint="eastAsia" w:ascii="Times New Roman" w:hAnsi="Times New Roman" w:cs="Times New Roman"/>
          <w:color w:val="000000"/>
          <w:spacing w:val="10"/>
          <w:sz w:val="24"/>
          <w:szCs w:val="24"/>
        </w:rPr>
        <w:t>微生物修复</w:t>
      </w:r>
      <w:r>
        <w:rPr>
          <w:rFonts w:hint="eastAsia" w:ascii="Times New Roman" w:hAnsi="Times New Roman" w:cs="Times New Roman"/>
          <w:color w:val="000000"/>
          <w:spacing w:val="10"/>
          <w:sz w:val="24"/>
          <w:szCs w:val="24"/>
          <w:lang w:val="en-US" w:eastAsia="zh-CN"/>
        </w:rPr>
        <w:t>技术</w:t>
      </w:r>
      <w:r>
        <w:rPr>
          <w:rFonts w:hint="eastAsia" w:ascii="Times New Roman" w:hAnsi="Times New Roman" w:cs="Times New Roman"/>
          <w:color w:val="000000"/>
          <w:spacing w:val="10"/>
          <w:sz w:val="24"/>
          <w:szCs w:val="24"/>
        </w:rPr>
        <w:t>具有成本低、无二次污染、不破坏土壤环境、处理效果好等特点，</w:t>
      </w:r>
      <w:r>
        <w:rPr>
          <w:rFonts w:hint="eastAsia" w:ascii="Times New Roman" w:hAnsi="Times New Roman" w:cs="Times New Roman"/>
          <w:color w:val="000000"/>
          <w:spacing w:val="10"/>
          <w:sz w:val="24"/>
          <w:szCs w:val="24"/>
          <w:lang w:val="zh-CN" w:eastAsia="zh-CN"/>
        </w:rPr>
        <w:t>在欧美等发达国家，</w:t>
      </w:r>
      <w:r>
        <w:rPr>
          <w:rFonts w:hint="eastAsia" w:ascii="Times New Roman" w:hAnsi="Times New Roman" w:cs="Times New Roman"/>
          <w:color w:val="000000"/>
          <w:spacing w:val="10"/>
          <w:sz w:val="24"/>
          <w:szCs w:val="24"/>
          <w:lang w:val="en-US" w:eastAsia="zh-CN"/>
        </w:rPr>
        <w:t>已经</w:t>
      </w:r>
      <w:r>
        <w:rPr>
          <w:rFonts w:hint="eastAsia" w:ascii="Times New Roman" w:hAnsi="Times New Roman" w:cs="Times New Roman"/>
          <w:color w:val="000000"/>
          <w:spacing w:val="10"/>
          <w:sz w:val="24"/>
          <w:szCs w:val="24"/>
          <w:lang w:val="zh-CN" w:eastAsia="zh-CN"/>
        </w:rPr>
        <w:t>形成了比较完善的技术体系，包括关键工艺、修复制剂、配套设备等核心技术系统和指标评价、工程软件、风险评估等支撑技术系统。生物修复作为土壤污染治理技术发展过程中的一个里程碑，已得到世界各国环保部门的认可。然而</w:t>
      </w:r>
      <w:r>
        <w:rPr>
          <w:rFonts w:hint="eastAsia" w:ascii="Times New Roman" w:hAnsi="Times New Roman" w:cs="Times New Roman"/>
          <w:color w:val="000000"/>
          <w:spacing w:val="10"/>
          <w:sz w:val="24"/>
          <w:szCs w:val="24"/>
          <w:lang w:val="en-US" w:eastAsia="zh-CN"/>
        </w:rPr>
        <w:t>由于我国在石油污染土壤微生物修复领域的标准一直缺失，导致该技术</w:t>
      </w:r>
      <w:r>
        <w:rPr>
          <w:rFonts w:hint="eastAsia" w:ascii="Times New Roman" w:hAnsi="Times New Roman" w:cs="Times New Roman"/>
          <w:color w:val="000000"/>
          <w:spacing w:val="10"/>
          <w:sz w:val="24"/>
          <w:szCs w:val="24"/>
          <w:lang w:val="zh-CN" w:eastAsia="zh-CN"/>
        </w:rPr>
        <w:t>在规模化生产和应用方面没有</w:t>
      </w:r>
      <w:r>
        <w:rPr>
          <w:rFonts w:hint="eastAsia" w:ascii="Times New Roman" w:hAnsi="Times New Roman" w:cs="Times New Roman"/>
          <w:color w:val="000000"/>
          <w:spacing w:val="10"/>
          <w:sz w:val="24"/>
          <w:szCs w:val="24"/>
          <w:lang w:val="en-US" w:eastAsia="zh-CN"/>
        </w:rPr>
        <w:t>得到</w:t>
      </w:r>
      <w:r>
        <w:rPr>
          <w:rFonts w:hint="eastAsia" w:ascii="Times New Roman" w:hAnsi="Times New Roman" w:cs="Times New Roman"/>
          <w:color w:val="000000"/>
          <w:spacing w:val="10"/>
          <w:sz w:val="24"/>
          <w:szCs w:val="24"/>
          <w:lang w:val="zh-CN" w:eastAsia="zh-CN"/>
        </w:rPr>
        <w:t>很好的</w:t>
      </w:r>
      <w:r>
        <w:rPr>
          <w:rFonts w:hint="eastAsia" w:ascii="Times New Roman" w:hAnsi="Times New Roman" w:cs="Times New Roman"/>
          <w:color w:val="000000"/>
          <w:spacing w:val="10"/>
          <w:sz w:val="24"/>
          <w:szCs w:val="24"/>
          <w:lang w:val="en-US" w:eastAsia="zh-CN"/>
        </w:rPr>
        <w:t>推广</w:t>
      </w:r>
      <w:r>
        <w:rPr>
          <w:rFonts w:hint="eastAsia" w:ascii="Times New Roman" w:hAnsi="Times New Roman" w:cs="Times New Roman"/>
          <w:color w:val="000000"/>
          <w:spacing w:val="10"/>
          <w:sz w:val="24"/>
          <w:szCs w:val="24"/>
          <w:lang w:val="zh-CN" w:eastAsia="zh-CN"/>
        </w:rPr>
        <w:t>。</w:t>
      </w:r>
      <w:r>
        <w:rPr>
          <w:rFonts w:hint="default" w:ascii="Times New Roman" w:hAnsi="Times New Roman" w:cs="Times New Roman"/>
          <w:color w:val="000000"/>
          <w:spacing w:val="10"/>
          <w:sz w:val="24"/>
          <w:szCs w:val="24"/>
          <w:lang w:val="en-US" w:eastAsia="zh-CN"/>
        </w:rPr>
        <w:t>因此，当前需要通过制定《石油污染土壤微生物修复技术规范》</w:t>
      </w:r>
      <w:r>
        <w:rPr>
          <w:rFonts w:hint="eastAsia" w:ascii="Times New Roman" w:hAnsi="Times New Roman" w:cs="Times New Roman"/>
          <w:color w:val="000000"/>
          <w:spacing w:val="10"/>
          <w:sz w:val="24"/>
          <w:szCs w:val="24"/>
          <w:lang w:val="en-US" w:eastAsia="zh-CN"/>
        </w:rPr>
        <w:t>对微生物修复工艺</w:t>
      </w:r>
      <w:r>
        <w:rPr>
          <w:rFonts w:hint="default" w:ascii="Times New Roman" w:hAnsi="Times New Roman" w:cs="Times New Roman"/>
          <w:color w:val="000000"/>
          <w:spacing w:val="10"/>
          <w:sz w:val="24"/>
          <w:szCs w:val="24"/>
          <w:lang w:val="en-US" w:eastAsia="zh-CN"/>
        </w:rPr>
        <w:t>进行规范，并深化推广。该标准为国内首个</w:t>
      </w:r>
      <w:r>
        <w:rPr>
          <w:rFonts w:hint="eastAsia" w:ascii="Times New Roman" w:hAnsi="Times New Roman" w:cs="Times New Roman"/>
          <w:color w:val="000000"/>
          <w:spacing w:val="10"/>
          <w:sz w:val="24"/>
          <w:szCs w:val="24"/>
          <w:lang w:val="en-US" w:eastAsia="zh-CN"/>
        </w:rPr>
        <w:t>用于陆地石油污染土壤微生物修复领域的</w:t>
      </w:r>
      <w:r>
        <w:rPr>
          <w:rFonts w:hint="default" w:ascii="Times New Roman" w:hAnsi="Times New Roman" w:cs="Times New Roman"/>
          <w:color w:val="000000"/>
          <w:spacing w:val="10"/>
          <w:sz w:val="24"/>
          <w:szCs w:val="24"/>
          <w:lang w:val="en-US" w:eastAsia="zh-CN"/>
        </w:rPr>
        <w:t>团体标准。该标准的制定，满足了</w:t>
      </w:r>
      <w:r>
        <w:rPr>
          <w:rFonts w:hint="eastAsia" w:ascii="Times New Roman" w:hAnsi="Times New Roman" w:cs="Times New Roman"/>
          <w:color w:val="000000"/>
          <w:spacing w:val="10"/>
          <w:sz w:val="24"/>
          <w:szCs w:val="24"/>
          <w:lang w:val="en-US" w:eastAsia="zh-CN"/>
        </w:rPr>
        <w:t>石油污染土壤微生物修复技术</w:t>
      </w:r>
      <w:r>
        <w:rPr>
          <w:rFonts w:hint="default" w:ascii="Times New Roman" w:hAnsi="Times New Roman" w:cs="Times New Roman"/>
          <w:color w:val="000000"/>
          <w:spacing w:val="10"/>
          <w:sz w:val="24"/>
          <w:szCs w:val="24"/>
          <w:lang w:val="en-US" w:eastAsia="zh-CN"/>
        </w:rPr>
        <w:t>的需求，有利于规范国内</w:t>
      </w:r>
      <w:r>
        <w:rPr>
          <w:rFonts w:hint="eastAsia" w:ascii="Times New Roman" w:hAnsi="Times New Roman" w:cs="Times New Roman"/>
          <w:color w:val="000000"/>
          <w:spacing w:val="10"/>
          <w:sz w:val="24"/>
          <w:szCs w:val="24"/>
          <w:lang w:val="en-US" w:eastAsia="zh-CN"/>
        </w:rPr>
        <w:t>各油田开采区及石油相关企业采用微生物修复技术</w:t>
      </w:r>
      <w:r>
        <w:rPr>
          <w:rFonts w:hint="default" w:ascii="Times New Roman" w:hAnsi="Times New Roman" w:cs="Times New Roman"/>
          <w:color w:val="000000"/>
          <w:spacing w:val="10"/>
          <w:sz w:val="24"/>
          <w:szCs w:val="24"/>
          <w:lang w:val="en-US" w:eastAsia="zh-CN"/>
        </w:rPr>
        <w:t>，促进</w:t>
      </w:r>
      <w:r>
        <w:rPr>
          <w:rFonts w:hint="eastAsia" w:ascii="Times New Roman" w:hAnsi="Times New Roman" w:cs="Times New Roman"/>
          <w:color w:val="000000"/>
          <w:spacing w:val="10"/>
          <w:sz w:val="24"/>
          <w:szCs w:val="24"/>
          <w:lang w:val="en-US" w:eastAsia="zh-CN"/>
        </w:rPr>
        <w:t>石油污染土壤治理领域微生物修复技术的</w:t>
      </w:r>
      <w:r>
        <w:rPr>
          <w:rFonts w:hint="default" w:ascii="Times New Roman" w:hAnsi="Times New Roman" w:cs="Times New Roman"/>
          <w:color w:val="000000"/>
          <w:spacing w:val="10"/>
          <w:sz w:val="24"/>
          <w:szCs w:val="24"/>
          <w:lang w:val="en-US" w:eastAsia="zh-CN"/>
        </w:rPr>
        <w:t>有序</w:t>
      </w:r>
      <w:r>
        <w:rPr>
          <w:rFonts w:hint="eastAsia" w:ascii="Times New Roman" w:hAnsi="Times New Roman" w:cs="Times New Roman"/>
          <w:color w:val="000000"/>
          <w:spacing w:val="10"/>
          <w:sz w:val="24"/>
          <w:szCs w:val="24"/>
          <w:lang w:val="en-US" w:eastAsia="zh-CN"/>
        </w:rPr>
        <w:t>与</w:t>
      </w:r>
      <w:r>
        <w:rPr>
          <w:rFonts w:hint="default" w:ascii="Times New Roman" w:hAnsi="Times New Roman" w:cs="Times New Roman"/>
          <w:color w:val="000000"/>
          <w:spacing w:val="10"/>
          <w:sz w:val="24"/>
          <w:szCs w:val="24"/>
          <w:lang w:val="en-US" w:eastAsia="zh-CN"/>
        </w:rPr>
        <w:t>高质量的</w:t>
      </w:r>
      <w:r>
        <w:rPr>
          <w:rFonts w:hint="eastAsia" w:ascii="Times New Roman" w:hAnsi="Times New Roman" w:cs="Times New Roman"/>
          <w:color w:val="000000"/>
          <w:spacing w:val="10"/>
          <w:sz w:val="24"/>
          <w:szCs w:val="24"/>
          <w:lang w:val="en-US" w:eastAsia="zh-CN"/>
        </w:rPr>
        <w:t>推广</w:t>
      </w:r>
      <w:r>
        <w:rPr>
          <w:rFonts w:hint="default" w:ascii="Times New Roman" w:hAnsi="Times New Roman" w:cs="Times New Roman"/>
          <w:color w:val="000000"/>
          <w:spacing w:val="10"/>
          <w:sz w:val="24"/>
          <w:szCs w:val="24"/>
          <w:lang w:val="en-US" w:eastAsia="zh-CN"/>
        </w:rPr>
        <w:t>。</w:t>
      </w:r>
    </w:p>
    <w:p>
      <w:pPr>
        <w:numPr>
          <w:ilvl w:val="0"/>
          <w:numId w:val="1"/>
        </w:numPr>
        <w:rPr>
          <w:rFonts w:hint="default" w:ascii="Times New Roman" w:hAnsi="Times New Roman" w:cs="Times New Roman"/>
          <w:b/>
          <w:bCs/>
          <w:sz w:val="28"/>
          <w:szCs w:val="28"/>
          <w:lang w:val="en-US" w:eastAsia="zh-CN"/>
        </w:rPr>
      </w:pPr>
      <w:r>
        <w:rPr>
          <w:rFonts w:hint="default" w:ascii="Times New Roman" w:hAnsi="Times New Roman" w:cs="Times New Roman"/>
          <w:b/>
          <w:bCs/>
          <w:sz w:val="28"/>
          <w:szCs w:val="28"/>
          <w:lang w:val="en-US" w:eastAsia="zh-CN"/>
        </w:rPr>
        <w:t>主要起草过程</w:t>
      </w:r>
    </w:p>
    <w:p>
      <w:pPr>
        <w:numPr>
          <w:ilvl w:val="0"/>
          <w:numId w:val="0"/>
        </w:numPr>
        <w:spacing w:line="360" w:lineRule="auto"/>
        <w:ind w:leftChars="0" w:firstLine="560"/>
        <w:rPr>
          <w:rFonts w:hint="default" w:ascii="Times New Roman" w:hAnsi="Times New Roman" w:cs="Times New Roman"/>
          <w:color w:val="000000"/>
          <w:spacing w:val="10"/>
          <w:sz w:val="24"/>
          <w:szCs w:val="24"/>
          <w:highlight w:val="none"/>
          <w:lang w:val="en-US" w:eastAsia="zh-CN"/>
        </w:rPr>
      </w:pPr>
      <w:r>
        <w:rPr>
          <w:rFonts w:hint="default" w:ascii="Times New Roman" w:hAnsi="Times New Roman" w:cs="Times New Roman"/>
          <w:color w:val="000000"/>
          <w:spacing w:val="10"/>
          <w:sz w:val="24"/>
          <w:szCs w:val="24"/>
          <w:highlight w:val="none"/>
          <w:lang w:val="en-US" w:eastAsia="zh-CN"/>
        </w:rPr>
        <w:t>自立项后，山东省环境保护产业协会组织山东省科学院生态研究所（山东省科学院中日友好生物技术研究中心）、东营金岛环境工程有限公司、山东百科利生态科技有限公司等多家单位的技术人员成立标准起草工作小组，明确了工作指导思想，制订了工作原则，确定了起草组成员和任务分工，并确定了由乐陵力维化学品有限责任公司牵头负责标准文本的初稿起草、意见汇总和修改工作，其他单位共同参与规范编制。</w:t>
      </w:r>
    </w:p>
    <w:p>
      <w:pPr>
        <w:numPr>
          <w:ilvl w:val="0"/>
          <w:numId w:val="0"/>
        </w:numPr>
        <w:spacing w:line="360" w:lineRule="auto"/>
        <w:ind w:leftChars="0" w:firstLine="560"/>
        <w:rPr>
          <w:rFonts w:hint="default" w:ascii="Times New Roman" w:hAnsi="Times New Roman" w:cs="Times New Roman"/>
          <w:color w:val="000000"/>
          <w:spacing w:val="10"/>
          <w:sz w:val="24"/>
          <w:szCs w:val="24"/>
          <w:highlight w:val="none"/>
          <w:lang w:val="en-US" w:eastAsia="zh-CN"/>
        </w:rPr>
      </w:pPr>
      <w:r>
        <w:rPr>
          <w:rFonts w:hint="default" w:ascii="Times New Roman" w:hAnsi="Times New Roman" w:cs="Times New Roman"/>
          <w:color w:val="000000"/>
          <w:spacing w:val="10"/>
          <w:sz w:val="24"/>
          <w:szCs w:val="24"/>
          <w:highlight w:val="none"/>
          <w:lang w:val="en-US" w:eastAsia="zh-CN"/>
        </w:rPr>
        <w:t>标准起草工作组开展了以下工作：</w:t>
      </w:r>
    </w:p>
    <w:p>
      <w:pPr>
        <w:numPr>
          <w:ilvl w:val="0"/>
          <w:numId w:val="2"/>
        </w:numPr>
        <w:spacing w:line="360" w:lineRule="auto"/>
        <w:ind w:leftChars="0" w:firstLine="560"/>
        <w:rPr>
          <w:rFonts w:hint="default" w:ascii="Times New Roman" w:hAnsi="Times New Roman" w:cs="Times New Roman"/>
          <w:color w:val="000000"/>
          <w:spacing w:val="10"/>
          <w:sz w:val="24"/>
          <w:szCs w:val="24"/>
          <w:highlight w:val="none"/>
          <w:lang w:val="en-US" w:eastAsia="zh-CN"/>
        </w:rPr>
      </w:pPr>
      <w:r>
        <w:rPr>
          <w:rFonts w:hint="default" w:ascii="Times New Roman" w:hAnsi="Times New Roman" w:cs="Times New Roman"/>
          <w:color w:val="000000"/>
          <w:spacing w:val="10"/>
          <w:sz w:val="24"/>
          <w:szCs w:val="24"/>
          <w:highlight w:val="none"/>
          <w:lang w:val="en-US" w:eastAsia="zh-CN"/>
        </w:rPr>
        <w:t>调研了</w:t>
      </w:r>
      <w:r>
        <w:rPr>
          <w:rFonts w:hint="eastAsia" w:ascii="Times New Roman" w:hAnsi="Times New Roman" w:cs="Times New Roman"/>
          <w:color w:val="000000"/>
          <w:spacing w:val="10"/>
          <w:sz w:val="24"/>
          <w:szCs w:val="24"/>
          <w:highlight w:val="none"/>
          <w:lang w:val="en-US" w:eastAsia="zh-CN"/>
        </w:rPr>
        <w:t>胜利油田所在的山东</w:t>
      </w:r>
      <w:r>
        <w:rPr>
          <w:rFonts w:hint="default" w:ascii="Times New Roman" w:hAnsi="Times New Roman" w:cs="Times New Roman"/>
          <w:color w:val="000000"/>
          <w:spacing w:val="10"/>
          <w:sz w:val="24"/>
          <w:szCs w:val="24"/>
          <w:highlight w:val="none"/>
          <w:lang w:val="en-US" w:eastAsia="zh-CN"/>
        </w:rPr>
        <w:t>、</w:t>
      </w:r>
      <w:r>
        <w:rPr>
          <w:rFonts w:hint="eastAsia" w:ascii="Times New Roman" w:hAnsi="Times New Roman" w:cs="Times New Roman"/>
          <w:color w:val="000000"/>
          <w:spacing w:val="10"/>
          <w:sz w:val="24"/>
          <w:szCs w:val="24"/>
          <w:highlight w:val="none"/>
          <w:lang w:val="en-US" w:eastAsia="zh-CN"/>
        </w:rPr>
        <w:t>延长等油田所在的陕西</w:t>
      </w:r>
      <w:r>
        <w:rPr>
          <w:rFonts w:hint="default" w:ascii="Times New Roman" w:hAnsi="Times New Roman" w:cs="Times New Roman"/>
          <w:color w:val="000000"/>
          <w:spacing w:val="10"/>
          <w:sz w:val="24"/>
          <w:szCs w:val="24"/>
          <w:highlight w:val="none"/>
          <w:lang w:val="en-US" w:eastAsia="zh-CN"/>
        </w:rPr>
        <w:t>、</w:t>
      </w:r>
      <w:r>
        <w:rPr>
          <w:rFonts w:hint="eastAsia" w:ascii="Times New Roman" w:hAnsi="Times New Roman" w:cs="Times New Roman"/>
          <w:color w:val="000000"/>
          <w:spacing w:val="10"/>
          <w:sz w:val="24"/>
          <w:szCs w:val="24"/>
          <w:highlight w:val="none"/>
          <w:lang w:val="en-US" w:eastAsia="zh-CN"/>
        </w:rPr>
        <w:t>克拉玛依等油田所在的新疆、大庆油田所在的黑龙江</w:t>
      </w:r>
      <w:r>
        <w:rPr>
          <w:rFonts w:hint="default" w:ascii="Times New Roman" w:hAnsi="Times New Roman" w:cs="Times New Roman"/>
          <w:color w:val="000000"/>
          <w:spacing w:val="10"/>
          <w:sz w:val="24"/>
          <w:szCs w:val="24"/>
          <w:highlight w:val="none"/>
          <w:lang w:val="en-US" w:eastAsia="zh-CN"/>
        </w:rPr>
        <w:t>等省份</w:t>
      </w:r>
      <w:r>
        <w:rPr>
          <w:rFonts w:hint="eastAsia" w:ascii="Times New Roman" w:hAnsi="Times New Roman" w:cs="Times New Roman"/>
          <w:color w:val="000000"/>
          <w:spacing w:val="10"/>
          <w:sz w:val="24"/>
          <w:szCs w:val="24"/>
          <w:highlight w:val="none"/>
          <w:lang w:val="en-US" w:eastAsia="zh-CN"/>
        </w:rPr>
        <w:t>采用微生物修复技术作</w:t>
      </w:r>
      <w:r>
        <w:rPr>
          <w:rFonts w:hint="default" w:ascii="Times New Roman" w:hAnsi="Times New Roman" w:cs="Times New Roman"/>
          <w:color w:val="000000"/>
          <w:spacing w:val="10"/>
          <w:sz w:val="24"/>
          <w:szCs w:val="24"/>
          <w:highlight w:val="none"/>
          <w:lang w:val="en-US" w:eastAsia="zh-CN"/>
        </w:rPr>
        <w:t>为</w:t>
      </w:r>
      <w:r>
        <w:rPr>
          <w:rFonts w:hint="eastAsia" w:ascii="Times New Roman" w:hAnsi="Times New Roman" w:cs="Times New Roman"/>
          <w:color w:val="000000"/>
          <w:spacing w:val="10"/>
          <w:sz w:val="24"/>
          <w:szCs w:val="24"/>
          <w:highlight w:val="none"/>
          <w:lang w:val="en-US" w:eastAsia="zh-CN"/>
        </w:rPr>
        <w:t>石油污染土壤无害化处理技术的市场占比情况，调研了几个省份石油污染土壤修复的相关标准</w:t>
      </w:r>
      <w:r>
        <w:rPr>
          <w:rFonts w:hint="default" w:ascii="Times New Roman" w:hAnsi="Times New Roman" w:cs="Times New Roman"/>
          <w:color w:val="000000"/>
          <w:spacing w:val="10"/>
          <w:sz w:val="24"/>
          <w:szCs w:val="24"/>
          <w:highlight w:val="none"/>
          <w:lang w:val="en-US" w:eastAsia="zh-CN"/>
        </w:rPr>
        <w:t>。</w:t>
      </w:r>
    </w:p>
    <w:p>
      <w:pPr>
        <w:numPr>
          <w:ilvl w:val="0"/>
          <w:numId w:val="2"/>
        </w:numPr>
        <w:spacing w:line="360" w:lineRule="auto"/>
        <w:ind w:leftChars="0" w:firstLine="560"/>
        <w:rPr>
          <w:rFonts w:hint="default" w:ascii="Times New Roman" w:hAnsi="Times New Roman" w:cs="Times New Roman"/>
          <w:color w:val="000000"/>
          <w:spacing w:val="10"/>
          <w:sz w:val="24"/>
          <w:szCs w:val="24"/>
          <w:highlight w:val="none"/>
          <w:lang w:val="en-US" w:eastAsia="zh-CN"/>
        </w:rPr>
      </w:pPr>
      <w:r>
        <w:rPr>
          <w:rFonts w:hint="default" w:ascii="Times New Roman" w:hAnsi="Times New Roman" w:cs="Times New Roman"/>
          <w:color w:val="000000"/>
          <w:spacing w:val="10"/>
          <w:sz w:val="24"/>
          <w:szCs w:val="24"/>
          <w:highlight w:val="none"/>
          <w:lang w:val="en-US" w:eastAsia="zh-CN"/>
        </w:rPr>
        <w:t>调研了以此</w:t>
      </w:r>
      <w:r>
        <w:rPr>
          <w:rFonts w:hint="eastAsia" w:ascii="Times New Roman" w:hAnsi="Times New Roman" w:cs="Times New Roman"/>
          <w:color w:val="000000"/>
          <w:spacing w:val="10"/>
          <w:sz w:val="24"/>
          <w:szCs w:val="24"/>
          <w:highlight w:val="none"/>
          <w:lang w:val="en-US" w:eastAsia="zh-CN"/>
        </w:rPr>
        <w:t>技术</w:t>
      </w:r>
      <w:r>
        <w:rPr>
          <w:rFonts w:hint="default" w:ascii="Times New Roman" w:hAnsi="Times New Roman" w:cs="Times New Roman"/>
          <w:color w:val="000000"/>
          <w:spacing w:val="10"/>
          <w:sz w:val="24"/>
          <w:szCs w:val="24"/>
          <w:highlight w:val="none"/>
          <w:lang w:val="en-US" w:eastAsia="zh-CN"/>
        </w:rPr>
        <w:t>为</w:t>
      </w:r>
      <w:r>
        <w:rPr>
          <w:rFonts w:hint="eastAsia" w:ascii="Times New Roman" w:hAnsi="Times New Roman" w:cs="Times New Roman"/>
          <w:color w:val="000000"/>
          <w:spacing w:val="10"/>
          <w:sz w:val="24"/>
          <w:szCs w:val="24"/>
          <w:highlight w:val="none"/>
          <w:lang w:val="en-US" w:eastAsia="zh-CN"/>
        </w:rPr>
        <w:t>石油污染土壤处置工艺</w:t>
      </w:r>
      <w:r>
        <w:rPr>
          <w:rFonts w:hint="default" w:ascii="Times New Roman" w:hAnsi="Times New Roman" w:cs="Times New Roman"/>
          <w:color w:val="000000"/>
          <w:spacing w:val="10"/>
          <w:sz w:val="24"/>
          <w:szCs w:val="24"/>
          <w:highlight w:val="none"/>
          <w:lang w:val="en-US" w:eastAsia="zh-CN"/>
        </w:rPr>
        <w:t>的数十家企业对该</w:t>
      </w:r>
      <w:r>
        <w:rPr>
          <w:rFonts w:hint="eastAsia" w:ascii="Times New Roman" w:hAnsi="Times New Roman" w:cs="Times New Roman"/>
          <w:color w:val="000000"/>
          <w:spacing w:val="10"/>
          <w:sz w:val="24"/>
          <w:szCs w:val="24"/>
          <w:highlight w:val="none"/>
          <w:lang w:val="en-US" w:eastAsia="zh-CN"/>
        </w:rPr>
        <w:t>技术规范</w:t>
      </w:r>
      <w:r>
        <w:rPr>
          <w:rFonts w:hint="default" w:ascii="Times New Roman" w:hAnsi="Times New Roman" w:cs="Times New Roman"/>
          <w:color w:val="000000"/>
          <w:spacing w:val="10"/>
          <w:sz w:val="24"/>
          <w:szCs w:val="24"/>
          <w:highlight w:val="none"/>
          <w:lang w:val="en-US" w:eastAsia="zh-CN"/>
        </w:rPr>
        <w:t>的需求。</w:t>
      </w:r>
    </w:p>
    <w:p>
      <w:pPr>
        <w:numPr>
          <w:ilvl w:val="0"/>
          <w:numId w:val="2"/>
        </w:numPr>
        <w:spacing w:line="360" w:lineRule="auto"/>
        <w:ind w:leftChars="0" w:firstLine="560"/>
        <w:rPr>
          <w:rFonts w:hint="default" w:ascii="Times New Roman" w:hAnsi="Times New Roman" w:cs="Times New Roman"/>
          <w:color w:val="000000"/>
          <w:spacing w:val="10"/>
          <w:sz w:val="24"/>
          <w:szCs w:val="24"/>
          <w:highlight w:val="none"/>
          <w:lang w:val="en-US" w:eastAsia="zh-CN"/>
        </w:rPr>
      </w:pPr>
      <w:r>
        <w:rPr>
          <w:rFonts w:hint="default" w:ascii="Times New Roman" w:hAnsi="Times New Roman" w:cs="Times New Roman"/>
          <w:color w:val="000000"/>
          <w:spacing w:val="10"/>
          <w:sz w:val="24"/>
          <w:szCs w:val="24"/>
          <w:highlight w:val="none"/>
          <w:lang w:val="en-US" w:eastAsia="zh-CN"/>
        </w:rPr>
        <w:t>借鉴了HY/T 0286-2020</w:t>
      </w:r>
      <w:r>
        <w:rPr>
          <w:rFonts w:hint="eastAsia" w:ascii="Times New Roman" w:hAnsi="Times New Roman" w:cs="Times New Roman"/>
          <w:color w:val="000000"/>
          <w:spacing w:val="10"/>
          <w:sz w:val="24"/>
          <w:szCs w:val="24"/>
          <w:highlight w:val="none"/>
          <w:lang w:val="en-US" w:eastAsia="zh-CN"/>
        </w:rPr>
        <w:t>《</w:t>
      </w:r>
      <w:r>
        <w:rPr>
          <w:rFonts w:hint="default" w:ascii="Times New Roman" w:hAnsi="Times New Roman" w:cs="Times New Roman"/>
          <w:color w:val="000000"/>
          <w:spacing w:val="10"/>
          <w:sz w:val="24"/>
          <w:szCs w:val="24"/>
          <w:highlight w:val="none"/>
          <w:lang w:val="en-US" w:eastAsia="zh-CN"/>
        </w:rPr>
        <w:t>海洋岸滩石油污染微生物修复指南</w:t>
      </w:r>
      <w:r>
        <w:rPr>
          <w:rFonts w:hint="eastAsia" w:ascii="Times New Roman" w:hAnsi="Times New Roman" w:cs="Times New Roman"/>
          <w:color w:val="000000"/>
          <w:spacing w:val="10"/>
          <w:sz w:val="24"/>
          <w:szCs w:val="24"/>
          <w:highlight w:val="none"/>
          <w:lang w:val="en-US" w:eastAsia="zh-CN"/>
        </w:rPr>
        <w:t>》</w:t>
      </w:r>
      <w:r>
        <w:rPr>
          <w:rFonts w:hint="default" w:ascii="Times New Roman" w:hAnsi="Times New Roman" w:cs="Times New Roman"/>
          <w:color w:val="000000"/>
          <w:spacing w:val="10"/>
          <w:sz w:val="24"/>
          <w:szCs w:val="24"/>
          <w:highlight w:val="none"/>
          <w:lang w:val="en-US" w:eastAsia="zh-CN"/>
        </w:rPr>
        <w:t>。</w:t>
      </w:r>
    </w:p>
    <w:p>
      <w:pPr>
        <w:numPr>
          <w:ilvl w:val="0"/>
          <w:numId w:val="2"/>
        </w:numPr>
        <w:spacing w:line="360" w:lineRule="auto"/>
        <w:ind w:leftChars="0" w:firstLine="560"/>
        <w:rPr>
          <w:rFonts w:hint="default" w:ascii="Times New Roman" w:hAnsi="Times New Roman" w:cs="Times New Roman"/>
          <w:color w:val="000000"/>
          <w:spacing w:val="10"/>
          <w:sz w:val="24"/>
          <w:szCs w:val="24"/>
          <w:highlight w:val="none"/>
          <w:lang w:val="en-US" w:eastAsia="zh-CN"/>
        </w:rPr>
      </w:pPr>
      <w:r>
        <w:rPr>
          <w:rFonts w:hint="default" w:ascii="Times New Roman" w:hAnsi="Times New Roman" w:cs="Times New Roman"/>
          <w:color w:val="000000"/>
          <w:spacing w:val="10"/>
          <w:sz w:val="24"/>
          <w:szCs w:val="24"/>
          <w:highlight w:val="none"/>
          <w:lang w:val="en-US" w:eastAsia="zh-CN"/>
        </w:rPr>
        <w:t>组织工作组成员多次讨论、修改标准内容。在充分调研和分析总结的基础上，标准编制组按要求起草了标准草稿，并按规定先后形成了征求意见稿和标准送审稿。</w:t>
      </w:r>
    </w:p>
    <w:p>
      <w:pPr>
        <w:numPr>
          <w:ilvl w:val="0"/>
          <w:numId w:val="1"/>
        </w:numPr>
        <w:rPr>
          <w:rFonts w:hint="default" w:ascii="Times New Roman" w:hAnsi="Times New Roman" w:cs="Times New Roman"/>
          <w:b/>
          <w:bCs/>
          <w:sz w:val="28"/>
          <w:szCs w:val="28"/>
          <w:lang w:val="en-US" w:eastAsia="zh-CN"/>
        </w:rPr>
      </w:pPr>
      <w:r>
        <w:rPr>
          <w:rFonts w:hint="default" w:ascii="Times New Roman" w:hAnsi="Times New Roman" w:cs="Times New Roman"/>
          <w:b/>
          <w:bCs/>
          <w:sz w:val="28"/>
          <w:szCs w:val="28"/>
          <w:lang w:val="en-US" w:eastAsia="zh-CN"/>
        </w:rPr>
        <w:t>制定标准的原则和依据以及与现行法律、法规、标准的关系</w:t>
      </w:r>
    </w:p>
    <w:p>
      <w:pPr>
        <w:numPr>
          <w:ilvl w:val="0"/>
          <w:numId w:val="3"/>
        </w:numPr>
        <w:spacing w:line="360" w:lineRule="auto"/>
        <w:ind w:leftChars="0"/>
        <w:rPr>
          <w:rFonts w:hint="default" w:ascii="Times New Roman" w:hAnsi="Times New Roman" w:cs="Times New Roman"/>
          <w:b/>
          <w:bCs/>
          <w:color w:val="000000"/>
          <w:spacing w:val="10"/>
          <w:sz w:val="24"/>
          <w:szCs w:val="24"/>
          <w:lang w:val="en-US" w:eastAsia="zh-CN"/>
        </w:rPr>
      </w:pPr>
      <w:r>
        <w:rPr>
          <w:rFonts w:hint="default" w:ascii="Times New Roman" w:hAnsi="Times New Roman" w:cs="Times New Roman"/>
          <w:b/>
          <w:bCs/>
          <w:color w:val="000000"/>
          <w:spacing w:val="10"/>
          <w:sz w:val="24"/>
          <w:szCs w:val="24"/>
          <w:lang w:val="en-US" w:eastAsia="zh-CN"/>
        </w:rPr>
        <w:t>制定标准的原则与依据</w:t>
      </w:r>
    </w:p>
    <w:p>
      <w:pPr>
        <w:numPr>
          <w:ilvl w:val="0"/>
          <w:numId w:val="4"/>
        </w:numPr>
        <w:spacing w:line="360" w:lineRule="auto"/>
        <w:ind w:left="560" w:leftChars="0" w:firstLine="0" w:firstLineChars="0"/>
        <w:rPr>
          <w:rFonts w:hint="default" w:ascii="Times New Roman" w:hAnsi="Times New Roman" w:cs="Times New Roman"/>
          <w:color w:val="000000"/>
          <w:spacing w:val="10"/>
          <w:sz w:val="24"/>
          <w:szCs w:val="24"/>
          <w:highlight w:val="none"/>
          <w:lang w:val="en-US" w:eastAsia="zh-CN"/>
        </w:rPr>
      </w:pPr>
      <w:r>
        <w:rPr>
          <w:rFonts w:hint="default" w:ascii="Times New Roman" w:hAnsi="Times New Roman" w:cs="Times New Roman"/>
          <w:color w:val="000000"/>
          <w:spacing w:val="10"/>
          <w:sz w:val="24"/>
          <w:szCs w:val="24"/>
          <w:highlight w:val="none"/>
          <w:lang w:val="en-US" w:eastAsia="zh-CN"/>
        </w:rPr>
        <w:t>与现有规范的一致性、兼容性、整合性原则</w:t>
      </w:r>
    </w:p>
    <w:p>
      <w:pPr>
        <w:numPr>
          <w:ilvl w:val="0"/>
          <w:numId w:val="0"/>
        </w:numPr>
        <w:spacing w:line="360" w:lineRule="auto"/>
        <w:ind w:leftChars="0" w:firstLine="560"/>
        <w:rPr>
          <w:rFonts w:hint="default" w:ascii="Times New Roman" w:hAnsi="Times New Roman" w:cs="Times New Roman"/>
          <w:color w:val="000000"/>
          <w:spacing w:val="10"/>
          <w:sz w:val="24"/>
          <w:szCs w:val="24"/>
          <w:highlight w:val="none"/>
          <w:lang w:val="en-US" w:eastAsia="zh-CN"/>
        </w:rPr>
      </w:pPr>
      <w:r>
        <w:rPr>
          <w:rFonts w:hint="default" w:ascii="Times New Roman" w:hAnsi="Times New Roman" w:cs="Times New Roman"/>
          <w:color w:val="000000"/>
          <w:spacing w:val="10"/>
          <w:sz w:val="24"/>
          <w:szCs w:val="24"/>
          <w:highlight w:val="none"/>
          <w:lang w:val="en-US" w:eastAsia="zh-CN"/>
        </w:rPr>
        <w:t>注重与现有规范的一致性、兼容性原则，在</w:t>
      </w:r>
      <w:r>
        <w:rPr>
          <w:rFonts w:hint="eastAsia" w:ascii="Times New Roman" w:hAnsi="Times New Roman" w:cs="Times New Roman"/>
          <w:color w:val="000000"/>
          <w:spacing w:val="10"/>
          <w:sz w:val="24"/>
          <w:szCs w:val="24"/>
          <w:highlight w:val="none"/>
          <w:lang w:val="en-US" w:eastAsia="zh-CN"/>
        </w:rPr>
        <w:t>工艺</w:t>
      </w:r>
      <w:r>
        <w:rPr>
          <w:rFonts w:hint="default" w:ascii="Times New Roman" w:hAnsi="Times New Roman" w:cs="Times New Roman"/>
          <w:color w:val="000000"/>
          <w:spacing w:val="10"/>
          <w:sz w:val="24"/>
          <w:szCs w:val="24"/>
          <w:highlight w:val="none"/>
          <w:lang w:val="en-US" w:eastAsia="zh-CN"/>
        </w:rPr>
        <w:t>技术要求上，与</w:t>
      </w:r>
      <w:r>
        <w:rPr>
          <w:rFonts w:hint="eastAsia" w:ascii="Times New Roman" w:hAnsi="Times New Roman" w:cs="Times New Roman"/>
          <w:color w:val="000000"/>
          <w:spacing w:val="10"/>
          <w:sz w:val="24"/>
          <w:szCs w:val="24"/>
          <w:highlight w:val="none"/>
          <w:lang w:val="en-US" w:eastAsia="zh-CN"/>
        </w:rPr>
        <w:t>现有行业标准</w:t>
      </w:r>
      <w:r>
        <w:rPr>
          <w:rFonts w:hint="default" w:ascii="Times New Roman" w:hAnsi="Times New Roman" w:cs="Times New Roman"/>
          <w:color w:val="000000"/>
          <w:spacing w:val="10"/>
          <w:sz w:val="24"/>
          <w:szCs w:val="24"/>
          <w:highlight w:val="none"/>
          <w:lang w:val="en-US" w:eastAsia="zh-CN"/>
        </w:rPr>
        <w:t>HY/T 0286-2020</w:t>
      </w:r>
      <w:r>
        <w:rPr>
          <w:rFonts w:hint="eastAsia" w:ascii="Times New Roman" w:hAnsi="Times New Roman" w:cs="Times New Roman"/>
          <w:color w:val="000000"/>
          <w:spacing w:val="10"/>
          <w:sz w:val="24"/>
          <w:szCs w:val="24"/>
          <w:highlight w:val="none"/>
          <w:lang w:val="en-US" w:eastAsia="zh-CN"/>
        </w:rPr>
        <w:t>《</w:t>
      </w:r>
      <w:r>
        <w:rPr>
          <w:rFonts w:hint="default" w:ascii="Times New Roman" w:hAnsi="Times New Roman" w:cs="Times New Roman"/>
          <w:color w:val="000000"/>
          <w:spacing w:val="10"/>
          <w:sz w:val="24"/>
          <w:szCs w:val="24"/>
          <w:highlight w:val="none"/>
          <w:lang w:val="en-US" w:eastAsia="zh-CN"/>
        </w:rPr>
        <w:t>海洋岸滩石油污染微生物修复指南</w:t>
      </w:r>
      <w:r>
        <w:rPr>
          <w:rFonts w:hint="eastAsia" w:ascii="Times New Roman" w:hAnsi="Times New Roman" w:cs="Times New Roman"/>
          <w:color w:val="000000"/>
          <w:spacing w:val="10"/>
          <w:sz w:val="24"/>
          <w:szCs w:val="24"/>
          <w:highlight w:val="none"/>
          <w:lang w:val="en-US" w:eastAsia="zh-CN"/>
        </w:rPr>
        <w:t>》</w:t>
      </w:r>
      <w:r>
        <w:rPr>
          <w:rFonts w:hint="default" w:ascii="Times New Roman" w:hAnsi="Times New Roman" w:cs="Times New Roman"/>
          <w:color w:val="000000"/>
          <w:spacing w:val="10"/>
          <w:sz w:val="24"/>
          <w:szCs w:val="24"/>
          <w:highlight w:val="none"/>
          <w:lang w:val="en-US" w:eastAsia="zh-CN"/>
        </w:rPr>
        <w:t>中</w:t>
      </w:r>
      <w:r>
        <w:rPr>
          <w:rFonts w:hint="eastAsia" w:ascii="Times New Roman" w:hAnsi="Times New Roman" w:cs="Times New Roman"/>
          <w:color w:val="000000"/>
          <w:spacing w:val="10"/>
          <w:sz w:val="24"/>
          <w:szCs w:val="24"/>
          <w:highlight w:val="none"/>
          <w:lang w:val="en-US" w:eastAsia="zh-CN"/>
        </w:rPr>
        <w:t>工艺路线与检测方法</w:t>
      </w:r>
      <w:r>
        <w:rPr>
          <w:rFonts w:hint="default" w:ascii="Times New Roman" w:hAnsi="Times New Roman" w:cs="Times New Roman"/>
          <w:color w:val="000000"/>
          <w:spacing w:val="10"/>
          <w:sz w:val="24"/>
          <w:szCs w:val="24"/>
          <w:highlight w:val="none"/>
          <w:lang w:val="en-US" w:eastAsia="zh-CN"/>
        </w:rPr>
        <w:t>等达到一致与兼容。</w:t>
      </w:r>
    </w:p>
    <w:p>
      <w:pPr>
        <w:numPr>
          <w:ilvl w:val="0"/>
          <w:numId w:val="4"/>
        </w:numPr>
        <w:spacing w:line="360" w:lineRule="auto"/>
        <w:ind w:left="560" w:leftChars="0" w:firstLine="0" w:firstLineChars="0"/>
        <w:rPr>
          <w:rFonts w:hint="default" w:ascii="Times New Roman" w:hAnsi="Times New Roman" w:cs="Times New Roman"/>
          <w:color w:val="000000"/>
          <w:spacing w:val="10"/>
          <w:sz w:val="24"/>
          <w:szCs w:val="24"/>
          <w:highlight w:val="none"/>
          <w:lang w:val="en-US" w:eastAsia="zh-CN"/>
        </w:rPr>
      </w:pPr>
      <w:r>
        <w:rPr>
          <w:rFonts w:hint="default" w:ascii="Times New Roman" w:hAnsi="Times New Roman" w:cs="Times New Roman"/>
          <w:color w:val="000000"/>
          <w:spacing w:val="10"/>
          <w:sz w:val="24"/>
          <w:szCs w:val="24"/>
          <w:highlight w:val="none"/>
          <w:lang w:val="en-US" w:eastAsia="zh-CN"/>
        </w:rPr>
        <w:t>实用性原则</w:t>
      </w:r>
    </w:p>
    <w:p>
      <w:pPr>
        <w:numPr>
          <w:ilvl w:val="0"/>
          <w:numId w:val="0"/>
        </w:numPr>
        <w:spacing w:line="360" w:lineRule="auto"/>
        <w:ind w:leftChars="0" w:firstLine="560"/>
        <w:rPr>
          <w:rFonts w:hint="default" w:ascii="Times New Roman" w:hAnsi="Times New Roman" w:cs="Times New Roman"/>
          <w:color w:val="000000"/>
          <w:spacing w:val="10"/>
          <w:sz w:val="24"/>
          <w:szCs w:val="24"/>
          <w:highlight w:val="none"/>
          <w:lang w:val="en-US" w:eastAsia="zh-CN"/>
        </w:rPr>
      </w:pPr>
      <w:r>
        <w:rPr>
          <w:rFonts w:hint="default" w:ascii="Times New Roman" w:hAnsi="Times New Roman" w:cs="Times New Roman"/>
          <w:color w:val="000000"/>
          <w:spacing w:val="10"/>
          <w:sz w:val="24"/>
          <w:szCs w:val="24"/>
          <w:highlight w:val="none"/>
          <w:lang w:val="en-US" w:eastAsia="zh-CN"/>
        </w:rPr>
        <w:t>注重吸收了目前市场上</w:t>
      </w:r>
      <w:r>
        <w:rPr>
          <w:rFonts w:hint="eastAsia" w:ascii="Times New Roman" w:hAnsi="Times New Roman" w:cs="Times New Roman"/>
          <w:color w:val="000000"/>
          <w:spacing w:val="10"/>
          <w:sz w:val="24"/>
          <w:szCs w:val="24"/>
          <w:highlight w:val="none"/>
          <w:lang w:val="en-US" w:eastAsia="zh-CN"/>
        </w:rPr>
        <w:t>以微生物技术作为石油污染土壤修复技术作为无害化处理工艺处置</w:t>
      </w:r>
      <w:r>
        <w:rPr>
          <w:rFonts w:hint="default" w:ascii="Times New Roman" w:hAnsi="Times New Roman" w:cs="Times New Roman"/>
          <w:color w:val="000000"/>
          <w:spacing w:val="10"/>
          <w:sz w:val="24"/>
          <w:szCs w:val="24"/>
          <w:highlight w:val="none"/>
          <w:lang w:val="en-US" w:eastAsia="zh-CN"/>
        </w:rPr>
        <w:t>企业在</w:t>
      </w:r>
      <w:r>
        <w:rPr>
          <w:rFonts w:hint="eastAsia" w:ascii="Times New Roman" w:hAnsi="Times New Roman" w:cs="Times New Roman"/>
          <w:color w:val="000000"/>
          <w:spacing w:val="10"/>
          <w:sz w:val="24"/>
          <w:szCs w:val="24"/>
          <w:highlight w:val="none"/>
          <w:lang w:val="en-US" w:eastAsia="zh-CN"/>
        </w:rPr>
        <w:t>处置规范上</w:t>
      </w:r>
      <w:r>
        <w:rPr>
          <w:rFonts w:hint="default" w:ascii="Times New Roman" w:hAnsi="Times New Roman" w:cs="Times New Roman"/>
          <w:color w:val="000000"/>
          <w:spacing w:val="10"/>
          <w:sz w:val="24"/>
          <w:szCs w:val="24"/>
          <w:highlight w:val="none"/>
          <w:lang w:val="en-US" w:eastAsia="zh-CN"/>
        </w:rPr>
        <w:t>的实际需求，积极听取各方意见。</w:t>
      </w:r>
    </w:p>
    <w:p>
      <w:pPr>
        <w:numPr>
          <w:ilvl w:val="0"/>
          <w:numId w:val="3"/>
        </w:numPr>
        <w:spacing w:line="360" w:lineRule="auto"/>
        <w:ind w:left="0" w:leftChars="0" w:firstLine="0" w:firstLineChars="0"/>
        <w:rPr>
          <w:rFonts w:hint="default" w:ascii="Times New Roman" w:hAnsi="Times New Roman" w:cs="Times New Roman"/>
          <w:b/>
          <w:bCs/>
          <w:color w:val="000000"/>
          <w:spacing w:val="10"/>
          <w:sz w:val="24"/>
          <w:szCs w:val="24"/>
          <w:highlight w:val="none"/>
          <w:lang w:val="en-US" w:eastAsia="zh-CN"/>
        </w:rPr>
      </w:pPr>
      <w:r>
        <w:rPr>
          <w:rFonts w:hint="default" w:ascii="Times New Roman" w:hAnsi="Times New Roman" w:cs="Times New Roman"/>
          <w:b/>
          <w:bCs/>
          <w:color w:val="000000"/>
          <w:spacing w:val="10"/>
          <w:sz w:val="24"/>
          <w:szCs w:val="24"/>
          <w:highlight w:val="none"/>
          <w:lang w:val="en-US" w:eastAsia="zh-CN"/>
        </w:rPr>
        <w:t>制定标准的依据</w:t>
      </w:r>
    </w:p>
    <w:p>
      <w:pPr>
        <w:numPr>
          <w:ilvl w:val="0"/>
          <w:numId w:val="0"/>
        </w:numPr>
        <w:spacing w:line="360" w:lineRule="auto"/>
        <w:ind w:leftChars="0" w:firstLine="560"/>
        <w:rPr>
          <w:rFonts w:hint="default" w:ascii="Times New Roman" w:hAnsi="Times New Roman" w:cs="Times New Roman"/>
          <w:color w:val="000000"/>
          <w:spacing w:val="10"/>
          <w:sz w:val="24"/>
          <w:szCs w:val="24"/>
          <w:highlight w:val="none"/>
          <w:lang w:val="en-US" w:eastAsia="zh-CN"/>
        </w:rPr>
      </w:pPr>
      <w:r>
        <w:rPr>
          <w:rFonts w:hint="default" w:ascii="Times New Roman" w:hAnsi="Times New Roman" w:cs="Times New Roman"/>
          <w:color w:val="000000"/>
          <w:spacing w:val="10"/>
          <w:sz w:val="24"/>
          <w:szCs w:val="24"/>
          <w:highlight w:val="none"/>
          <w:lang w:val="en-US" w:eastAsia="zh-CN"/>
        </w:rPr>
        <w:t>GB 4284-1984 农用污泥中污染物控制标准</w:t>
      </w:r>
    </w:p>
    <w:p>
      <w:pPr>
        <w:numPr>
          <w:ilvl w:val="0"/>
          <w:numId w:val="0"/>
        </w:numPr>
        <w:spacing w:line="360" w:lineRule="auto"/>
        <w:ind w:leftChars="0" w:firstLine="560"/>
        <w:rPr>
          <w:rFonts w:hint="default" w:ascii="Times New Roman" w:hAnsi="Times New Roman" w:cs="Times New Roman"/>
          <w:color w:val="000000"/>
          <w:spacing w:val="10"/>
          <w:sz w:val="24"/>
          <w:szCs w:val="24"/>
          <w:highlight w:val="none"/>
          <w:lang w:val="en-US" w:eastAsia="zh-CN"/>
        </w:rPr>
      </w:pPr>
      <w:r>
        <w:rPr>
          <w:rFonts w:hint="default" w:ascii="Times New Roman" w:hAnsi="Times New Roman" w:cs="Times New Roman"/>
          <w:color w:val="000000"/>
          <w:spacing w:val="10"/>
          <w:sz w:val="24"/>
          <w:szCs w:val="24"/>
          <w:highlight w:val="none"/>
          <w:lang w:val="en-US" w:eastAsia="zh-CN"/>
        </w:rPr>
        <w:t>HY/T 0286-2020海洋岸滩石油污染微生物修复指南</w:t>
      </w:r>
    </w:p>
    <w:p>
      <w:pPr>
        <w:numPr>
          <w:ilvl w:val="0"/>
          <w:numId w:val="0"/>
        </w:numPr>
        <w:spacing w:line="360" w:lineRule="auto"/>
        <w:ind w:leftChars="0" w:firstLine="560"/>
        <w:rPr>
          <w:rFonts w:hint="default" w:ascii="Times New Roman" w:hAnsi="Times New Roman" w:cs="Times New Roman"/>
          <w:color w:val="000000"/>
          <w:spacing w:val="10"/>
          <w:sz w:val="24"/>
          <w:szCs w:val="24"/>
          <w:highlight w:val="none"/>
          <w:lang w:val="en-US" w:eastAsia="zh-CN"/>
        </w:rPr>
      </w:pPr>
      <w:r>
        <w:rPr>
          <w:rFonts w:hint="default" w:ascii="Times New Roman" w:hAnsi="Times New Roman" w:cs="Times New Roman"/>
          <w:color w:val="000000"/>
          <w:spacing w:val="10"/>
          <w:sz w:val="24"/>
          <w:szCs w:val="24"/>
          <w:highlight w:val="none"/>
          <w:lang w:val="en-US" w:eastAsia="zh-CN"/>
        </w:rPr>
        <w:t>DB61/T 120-2016石油类污染场地勘察与修复技术规范</w:t>
      </w:r>
    </w:p>
    <w:p>
      <w:pPr>
        <w:numPr>
          <w:ilvl w:val="0"/>
          <w:numId w:val="0"/>
        </w:numPr>
        <w:spacing w:line="360" w:lineRule="auto"/>
        <w:ind w:leftChars="0" w:firstLine="560"/>
        <w:rPr>
          <w:rFonts w:hint="default" w:ascii="Times New Roman" w:hAnsi="Times New Roman" w:cs="Times New Roman"/>
          <w:color w:val="000000"/>
          <w:spacing w:val="10"/>
          <w:sz w:val="24"/>
          <w:szCs w:val="24"/>
          <w:highlight w:val="none"/>
          <w:lang w:val="en-US" w:eastAsia="zh-CN"/>
        </w:rPr>
      </w:pPr>
      <w:r>
        <w:rPr>
          <w:rFonts w:hint="default" w:ascii="Times New Roman" w:hAnsi="Times New Roman" w:cs="Times New Roman"/>
          <w:color w:val="000000"/>
          <w:spacing w:val="10"/>
          <w:sz w:val="24"/>
          <w:szCs w:val="24"/>
          <w:highlight w:val="none"/>
          <w:lang w:val="en-US" w:eastAsia="zh-CN"/>
        </w:rPr>
        <w:t>DB23/T 1413-2010 油田含油污泥综合利用污染控制标准</w:t>
      </w:r>
    </w:p>
    <w:p>
      <w:pPr>
        <w:numPr>
          <w:ilvl w:val="0"/>
          <w:numId w:val="0"/>
        </w:numPr>
        <w:spacing w:line="360" w:lineRule="auto"/>
        <w:ind w:leftChars="0" w:firstLine="560"/>
        <w:rPr>
          <w:rFonts w:hint="default" w:ascii="Times New Roman" w:hAnsi="Times New Roman" w:cs="Times New Roman"/>
          <w:color w:val="000000"/>
          <w:spacing w:val="10"/>
          <w:sz w:val="24"/>
          <w:szCs w:val="24"/>
          <w:highlight w:val="none"/>
          <w:lang w:val="en-US" w:eastAsia="zh-CN"/>
        </w:rPr>
      </w:pPr>
      <w:r>
        <w:rPr>
          <w:rFonts w:hint="default" w:ascii="Times New Roman" w:hAnsi="Times New Roman" w:cs="Times New Roman"/>
          <w:color w:val="000000"/>
          <w:spacing w:val="10"/>
          <w:sz w:val="24"/>
          <w:szCs w:val="24"/>
          <w:highlight w:val="none"/>
          <w:lang w:val="en-US" w:eastAsia="zh-CN"/>
        </w:rPr>
        <w:t xml:space="preserve">DB61/T 1025-2016含油污泥处置利用控制限值  </w:t>
      </w:r>
    </w:p>
    <w:p>
      <w:pPr>
        <w:numPr>
          <w:ilvl w:val="0"/>
          <w:numId w:val="0"/>
        </w:numPr>
        <w:spacing w:line="360" w:lineRule="auto"/>
        <w:ind w:leftChars="0" w:firstLine="560"/>
        <w:rPr>
          <w:rFonts w:hint="default" w:ascii="Times New Roman" w:hAnsi="Times New Roman" w:cs="Times New Roman"/>
          <w:color w:val="000000"/>
          <w:spacing w:val="10"/>
          <w:sz w:val="24"/>
          <w:szCs w:val="24"/>
          <w:highlight w:val="none"/>
          <w:lang w:val="en-US" w:eastAsia="zh-CN"/>
        </w:rPr>
      </w:pPr>
      <w:r>
        <w:rPr>
          <w:rFonts w:hint="default" w:ascii="Times New Roman" w:hAnsi="Times New Roman" w:cs="Times New Roman"/>
          <w:color w:val="000000"/>
          <w:spacing w:val="10"/>
          <w:sz w:val="24"/>
          <w:szCs w:val="24"/>
          <w:highlight w:val="none"/>
          <w:lang w:val="en-US" w:eastAsia="zh-CN"/>
        </w:rPr>
        <w:t>HJ 1021-2019 土壤和沉积物 石油烃（C10-C40）的测定 气相色谱法</w:t>
      </w:r>
    </w:p>
    <w:p>
      <w:pPr>
        <w:numPr>
          <w:ilvl w:val="0"/>
          <w:numId w:val="0"/>
        </w:numPr>
        <w:spacing w:line="360" w:lineRule="auto"/>
        <w:ind w:leftChars="0" w:firstLine="560"/>
        <w:rPr>
          <w:rFonts w:hint="default" w:ascii="Times New Roman" w:hAnsi="Times New Roman" w:cs="Times New Roman"/>
          <w:color w:val="000000"/>
          <w:spacing w:val="10"/>
          <w:sz w:val="24"/>
          <w:szCs w:val="24"/>
          <w:highlight w:val="none"/>
          <w:lang w:val="en-US" w:eastAsia="zh-CN"/>
        </w:rPr>
      </w:pPr>
      <w:r>
        <w:rPr>
          <w:rFonts w:hint="default" w:ascii="Times New Roman" w:hAnsi="Times New Roman" w:cs="Times New Roman"/>
          <w:color w:val="000000"/>
          <w:spacing w:val="10"/>
          <w:sz w:val="24"/>
          <w:szCs w:val="24"/>
          <w:highlight w:val="none"/>
          <w:lang w:val="en-US" w:eastAsia="zh-CN"/>
        </w:rPr>
        <w:t>GB 7172-1987 土壤水分测定法</w:t>
      </w:r>
    </w:p>
    <w:p>
      <w:pPr>
        <w:numPr>
          <w:ilvl w:val="0"/>
          <w:numId w:val="0"/>
        </w:numPr>
        <w:spacing w:line="360" w:lineRule="auto"/>
        <w:ind w:leftChars="0" w:firstLine="560"/>
        <w:rPr>
          <w:rFonts w:hint="default" w:ascii="Times New Roman" w:hAnsi="Times New Roman" w:cs="Times New Roman"/>
          <w:color w:val="000000"/>
          <w:spacing w:val="10"/>
          <w:sz w:val="24"/>
          <w:szCs w:val="24"/>
          <w:highlight w:val="none"/>
          <w:lang w:val="en-US" w:eastAsia="zh-CN"/>
        </w:rPr>
      </w:pPr>
      <w:r>
        <w:rPr>
          <w:rFonts w:hint="default" w:ascii="Times New Roman" w:hAnsi="Times New Roman" w:cs="Times New Roman"/>
          <w:color w:val="000000"/>
          <w:spacing w:val="10"/>
          <w:sz w:val="24"/>
          <w:szCs w:val="24"/>
          <w:highlight w:val="none"/>
          <w:lang w:val="en-US" w:eastAsia="zh-CN"/>
        </w:rPr>
        <w:t>GB/T 23486-2009 城市污水处理厂污泥处置园林绿化用泥质</w:t>
      </w:r>
    </w:p>
    <w:p>
      <w:pPr>
        <w:numPr>
          <w:ilvl w:val="0"/>
          <w:numId w:val="0"/>
        </w:numPr>
        <w:spacing w:line="360" w:lineRule="auto"/>
        <w:ind w:leftChars="0" w:firstLine="560"/>
        <w:rPr>
          <w:rFonts w:hint="default" w:ascii="Times New Roman" w:hAnsi="Times New Roman" w:cs="Times New Roman"/>
          <w:color w:val="000000"/>
          <w:spacing w:val="10"/>
          <w:sz w:val="24"/>
          <w:szCs w:val="24"/>
          <w:highlight w:val="none"/>
          <w:lang w:val="en-US" w:eastAsia="zh-CN"/>
        </w:rPr>
      </w:pPr>
      <w:r>
        <w:rPr>
          <w:rFonts w:hint="default" w:ascii="Times New Roman" w:hAnsi="Times New Roman" w:cs="Times New Roman"/>
          <w:color w:val="000000"/>
          <w:spacing w:val="10"/>
          <w:sz w:val="24"/>
          <w:szCs w:val="24"/>
          <w:highlight w:val="none"/>
          <w:lang w:val="en-US" w:eastAsia="zh-CN"/>
        </w:rPr>
        <w:t>GB/T 15959  水质 可吸附有机卤素（AOX）的测定 微库仑法</w:t>
      </w:r>
    </w:p>
    <w:p>
      <w:pPr>
        <w:numPr>
          <w:ilvl w:val="0"/>
          <w:numId w:val="0"/>
        </w:numPr>
        <w:spacing w:line="360" w:lineRule="auto"/>
        <w:ind w:leftChars="0" w:firstLine="560"/>
        <w:rPr>
          <w:rFonts w:hint="default" w:ascii="Times New Roman" w:hAnsi="Times New Roman" w:cs="Times New Roman"/>
          <w:color w:val="000000"/>
          <w:spacing w:val="10"/>
          <w:sz w:val="24"/>
          <w:szCs w:val="24"/>
          <w:highlight w:val="none"/>
          <w:lang w:val="en-US" w:eastAsia="zh-CN"/>
        </w:rPr>
      </w:pPr>
      <w:r>
        <w:rPr>
          <w:rFonts w:hint="default" w:ascii="Times New Roman" w:hAnsi="Times New Roman" w:cs="Times New Roman"/>
          <w:color w:val="000000"/>
          <w:spacing w:val="10"/>
          <w:sz w:val="24"/>
          <w:szCs w:val="24"/>
          <w:highlight w:val="none"/>
          <w:lang w:val="en-US" w:eastAsia="zh-CN"/>
        </w:rPr>
        <w:t>GB/T 17135  土壤质量 总砷的测定 分光光度法</w:t>
      </w:r>
    </w:p>
    <w:p>
      <w:pPr>
        <w:numPr>
          <w:ilvl w:val="0"/>
          <w:numId w:val="0"/>
        </w:numPr>
        <w:spacing w:line="360" w:lineRule="auto"/>
        <w:ind w:leftChars="0" w:firstLine="560"/>
        <w:rPr>
          <w:rFonts w:hint="default" w:ascii="Times New Roman" w:hAnsi="Times New Roman" w:cs="Times New Roman"/>
          <w:color w:val="000000"/>
          <w:spacing w:val="10"/>
          <w:sz w:val="24"/>
          <w:szCs w:val="24"/>
          <w:highlight w:val="none"/>
          <w:lang w:val="en-US" w:eastAsia="zh-CN"/>
        </w:rPr>
      </w:pPr>
      <w:r>
        <w:rPr>
          <w:rFonts w:hint="default" w:ascii="Times New Roman" w:hAnsi="Times New Roman" w:cs="Times New Roman"/>
          <w:color w:val="000000"/>
          <w:spacing w:val="10"/>
          <w:sz w:val="24"/>
          <w:szCs w:val="24"/>
          <w:highlight w:val="none"/>
          <w:lang w:val="en-US" w:eastAsia="zh-CN"/>
        </w:rPr>
        <w:t>GB/T 17136  土壤质量 总砷的测定 冷原子吸收分光光度法</w:t>
      </w:r>
    </w:p>
    <w:p>
      <w:pPr>
        <w:numPr>
          <w:ilvl w:val="0"/>
          <w:numId w:val="0"/>
        </w:numPr>
        <w:spacing w:line="360" w:lineRule="auto"/>
        <w:ind w:leftChars="0" w:firstLine="560"/>
        <w:rPr>
          <w:rFonts w:hint="default" w:ascii="Times New Roman" w:hAnsi="Times New Roman" w:cs="Times New Roman"/>
          <w:color w:val="000000"/>
          <w:spacing w:val="10"/>
          <w:sz w:val="24"/>
          <w:szCs w:val="24"/>
          <w:highlight w:val="none"/>
          <w:lang w:val="en-US" w:eastAsia="zh-CN"/>
        </w:rPr>
      </w:pPr>
      <w:r>
        <w:rPr>
          <w:rFonts w:hint="default" w:ascii="Times New Roman" w:hAnsi="Times New Roman" w:cs="Times New Roman"/>
          <w:color w:val="000000"/>
          <w:spacing w:val="10"/>
          <w:sz w:val="24"/>
          <w:szCs w:val="24"/>
          <w:highlight w:val="none"/>
          <w:lang w:val="en-US" w:eastAsia="zh-CN"/>
        </w:rPr>
        <w:t>GB/T 17137  土壤质量 总铬的测定 火焰原子吸收分光光度法</w:t>
      </w:r>
    </w:p>
    <w:p>
      <w:pPr>
        <w:numPr>
          <w:ilvl w:val="0"/>
          <w:numId w:val="0"/>
        </w:numPr>
        <w:spacing w:line="360" w:lineRule="auto"/>
        <w:ind w:leftChars="0" w:firstLine="560"/>
        <w:rPr>
          <w:rFonts w:hint="default" w:ascii="Times New Roman" w:hAnsi="Times New Roman" w:cs="Times New Roman"/>
          <w:color w:val="000000"/>
          <w:spacing w:val="10"/>
          <w:sz w:val="24"/>
          <w:szCs w:val="24"/>
          <w:highlight w:val="none"/>
          <w:lang w:val="en-US" w:eastAsia="zh-CN"/>
        </w:rPr>
      </w:pPr>
      <w:r>
        <w:rPr>
          <w:rFonts w:hint="default" w:ascii="Times New Roman" w:hAnsi="Times New Roman" w:cs="Times New Roman"/>
          <w:color w:val="000000"/>
          <w:spacing w:val="10"/>
          <w:sz w:val="24"/>
          <w:szCs w:val="24"/>
          <w:highlight w:val="none"/>
          <w:lang w:val="en-US" w:eastAsia="zh-CN"/>
        </w:rPr>
        <w:t>GB/T 17138  土壤质量 铜、锌的测定 火焰原子吸收分光光度法</w:t>
      </w:r>
    </w:p>
    <w:p>
      <w:pPr>
        <w:numPr>
          <w:ilvl w:val="0"/>
          <w:numId w:val="0"/>
        </w:numPr>
        <w:spacing w:line="360" w:lineRule="auto"/>
        <w:ind w:leftChars="0" w:firstLine="560"/>
        <w:rPr>
          <w:rFonts w:hint="default" w:ascii="Times New Roman" w:hAnsi="Times New Roman" w:cs="Times New Roman"/>
          <w:color w:val="000000"/>
          <w:spacing w:val="10"/>
          <w:sz w:val="24"/>
          <w:szCs w:val="24"/>
          <w:highlight w:val="none"/>
          <w:lang w:val="en-US" w:eastAsia="zh-CN"/>
        </w:rPr>
      </w:pPr>
      <w:r>
        <w:rPr>
          <w:rFonts w:hint="default" w:ascii="Times New Roman" w:hAnsi="Times New Roman" w:cs="Times New Roman"/>
          <w:color w:val="000000"/>
          <w:spacing w:val="10"/>
          <w:sz w:val="24"/>
          <w:szCs w:val="24"/>
          <w:highlight w:val="none"/>
          <w:lang w:val="en-US" w:eastAsia="zh-CN"/>
        </w:rPr>
        <w:t>GB/T 17139  土壤质量 镍的测定 火焰原子吸收分光光度法</w:t>
      </w:r>
    </w:p>
    <w:p>
      <w:pPr>
        <w:numPr>
          <w:ilvl w:val="0"/>
          <w:numId w:val="0"/>
        </w:numPr>
        <w:spacing w:line="360" w:lineRule="auto"/>
        <w:ind w:leftChars="0" w:firstLine="560"/>
        <w:rPr>
          <w:rFonts w:hint="default" w:ascii="Times New Roman" w:hAnsi="Times New Roman" w:cs="Times New Roman"/>
          <w:color w:val="000000"/>
          <w:spacing w:val="10"/>
          <w:sz w:val="24"/>
          <w:szCs w:val="24"/>
          <w:highlight w:val="none"/>
          <w:lang w:val="en-US" w:eastAsia="zh-CN"/>
        </w:rPr>
      </w:pPr>
      <w:r>
        <w:rPr>
          <w:rFonts w:hint="default" w:ascii="Times New Roman" w:hAnsi="Times New Roman" w:cs="Times New Roman"/>
          <w:color w:val="000000"/>
          <w:spacing w:val="10"/>
          <w:sz w:val="24"/>
          <w:szCs w:val="24"/>
          <w:highlight w:val="none"/>
          <w:lang w:val="en-US" w:eastAsia="zh-CN"/>
        </w:rPr>
        <w:t>GB/T 17141  土壤质量 铅、镉的测定 石墨炉 原子吸收分光光度法</w:t>
      </w:r>
    </w:p>
    <w:p>
      <w:pPr>
        <w:numPr>
          <w:ilvl w:val="0"/>
          <w:numId w:val="3"/>
        </w:numPr>
        <w:spacing w:line="360" w:lineRule="auto"/>
        <w:ind w:left="0" w:leftChars="0" w:firstLine="0" w:firstLineChars="0"/>
        <w:rPr>
          <w:rFonts w:hint="default" w:ascii="Times New Roman" w:hAnsi="Times New Roman" w:cs="Times New Roman"/>
          <w:b/>
          <w:bCs/>
          <w:color w:val="000000"/>
          <w:spacing w:val="10"/>
          <w:sz w:val="24"/>
          <w:szCs w:val="24"/>
          <w:lang w:val="en-US" w:eastAsia="zh-CN"/>
        </w:rPr>
      </w:pPr>
      <w:r>
        <w:rPr>
          <w:rFonts w:hint="default" w:ascii="Times New Roman" w:hAnsi="Times New Roman" w:cs="Times New Roman"/>
          <w:b/>
          <w:bCs/>
          <w:color w:val="000000"/>
          <w:spacing w:val="10"/>
          <w:sz w:val="24"/>
          <w:szCs w:val="24"/>
          <w:lang w:val="en-US" w:eastAsia="zh-CN"/>
        </w:rPr>
        <w:t>与现行法律、法规、标准的关系</w:t>
      </w:r>
    </w:p>
    <w:p>
      <w:pPr>
        <w:numPr>
          <w:ilvl w:val="0"/>
          <w:numId w:val="0"/>
        </w:numPr>
        <w:spacing w:line="360" w:lineRule="auto"/>
        <w:ind w:leftChars="0" w:firstLine="560"/>
        <w:rPr>
          <w:rFonts w:hint="default" w:ascii="Times New Roman" w:hAnsi="Times New Roman" w:cs="Times New Roman"/>
          <w:color w:val="000000"/>
          <w:spacing w:val="10"/>
          <w:sz w:val="24"/>
          <w:szCs w:val="24"/>
          <w:highlight w:val="none"/>
          <w:lang w:val="en-US" w:eastAsia="zh-CN"/>
        </w:rPr>
      </w:pPr>
      <w:r>
        <w:rPr>
          <w:rFonts w:hint="eastAsia" w:ascii="Times New Roman" w:hAnsi="Times New Roman" w:cs="Times New Roman"/>
          <w:color w:val="000000"/>
          <w:spacing w:val="10"/>
          <w:sz w:val="24"/>
          <w:szCs w:val="24"/>
          <w:highlight w:val="none"/>
          <w:lang w:val="en-US" w:eastAsia="zh-CN"/>
        </w:rPr>
        <w:t>目前国内没有</w:t>
      </w:r>
      <w:r>
        <w:rPr>
          <w:rFonts w:hint="default" w:ascii="Times New Roman" w:hAnsi="Times New Roman" w:cs="Times New Roman"/>
          <w:color w:val="000000"/>
          <w:spacing w:val="10"/>
          <w:sz w:val="24"/>
          <w:szCs w:val="24"/>
          <w:highlight w:val="none"/>
          <w:lang w:val="en-US" w:eastAsia="zh-CN"/>
        </w:rPr>
        <w:t>石油污染土壤微生物修复技术</w:t>
      </w:r>
      <w:r>
        <w:rPr>
          <w:rFonts w:hint="eastAsia" w:ascii="Times New Roman" w:hAnsi="Times New Roman" w:cs="Times New Roman"/>
          <w:color w:val="000000"/>
          <w:spacing w:val="10"/>
          <w:sz w:val="24"/>
          <w:szCs w:val="24"/>
          <w:highlight w:val="none"/>
          <w:lang w:val="en-US" w:eastAsia="zh-CN"/>
        </w:rPr>
        <w:t>的国家或地方标准，行业标准</w:t>
      </w:r>
      <w:r>
        <w:rPr>
          <w:rFonts w:hint="default" w:ascii="Times New Roman" w:hAnsi="Times New Roman" w:cs="Times New Roman"/>
          <w:color w:val="000000"/>
          <w:spacing w:val="10"/>
          <w:sz w:val="24"/>
          <w:szCs w:val="24"/>
          <w:highlight w:val="none"/>
          <w:lang w:val="en-US" w:eastAsia="zh-CN"/>
        </w:rPr>
        <w:t>HY/T 0286-2020</w:t>
      </w:r>
      <w:r>
        <w:rPr>
          <w:rFonts w:hint="eastAsia" w:ascii="Times New Roman" w:hAnsi="Times New Roman" w:cs="Times New Roman"/>
          <w:color w:val="000000"/>
          <w:spacing w:val="10"/>
          <w:sz w:val="24"/>
          <w:szCs w:val="24"/>
          <w:highlight w:val="none"/>
          <w:lang w:val="en-US" w:eastAsia="zh-CN"/>
        </w:rPr>
        <w:t>《</w:t>
      </w:r>
      <w:r>
        <w:rPr>
          <w:rFonts w:hint="default" w:ascii="Times New Roman" w:hAnsi="Times New Roman" w:cs="Times New Roman"/>
          <w:color w:val="000000"/>
          <w:spacing w:val="10"/>
          <w:sz w:val="24"/>
          <w:szCs w:val="24"/>
          <w:highlight w:val="none"/>
          <w:lang w:val="en-US" w:eastAsia="zh-CN"/>
        </w:rPr>
        <w:t>海洋岸滩石油污染微生物修复指南</w:t>
      </w:r>
      <w:r>
        <w:rPr>
          <w:rFonts w:hint="eastAsia" w:ascii="Times New Roman" w:hAnsi="Times New Roman" w:cs="Times New Roman"/>
          <w:color w:val="000000"/>
          <w:spacing w:val="10"/>
          <w:sz w:val="24"/>
          <w:szCs w:val="24"/>
          <w:highlight w:val="none"/>
          <w:lang w:val="en-US" w:eastAsia="zh-CN"/>
        </w:rPr>
        <w:t>》是国家自然资源部发部，</w:t>
      </w:r>
      <w:r>
        <w:rPr>
          <w:rFonts w:hint="default" w:ascii="Times New Roman" w:hAnsi="Times New Roman" w:cs="Times New Roman"/>
          <w:color w:val="000000"/>
          <w:spacing w:val="10"/>
          <w:sz w:val="24"/>
          <w:szCs w:val="24"/>
          <w:highlight w:val="none"/>
          <w:lang w:val="en-US" w:eastAsia="zh-CN"/>
        </w:rPr>
        <w:t>目前</w:t>
      </w:r>
      <w:r>
        <w:rPr>
          <w:rFonts w:hint="eastAsia" w:ascii="Times New Roman" w:hAnsi="Times New Roman" w:cs="Times New Roman"/>
          <w:color w:val="000000"/>
          <w:spacing w:val="10"/>
          <w:sz w:val="24"/>
          <w:szCs w:val="24"/>
          <w:highlight w:val="none"/>
          <w:lang w:val="en-US" w:eastAsia="zh-CN"/>
        </w:rPr>
        <w:t>唯一可借鉴的</w:t>
      </w:r>
      <w:r>
        <w:rPr>
          <w:rFonts w:hint="default" w:ascii="Times New Roman" w:hAnsi="Times New Roman" w:cs="Times New Roman"/>
          <w:color w:val="000000"/>
          <w:spacing w:val="10"/>
          <w:sz w:val="24"/>
          <w:szCs w:val="24"/>
          <w:highlight w:val="none"/>
          <w:lang w:val="en-US" w:eastAsia="zh-CN"/>
        </w:rPr>
        <w:t>石油污染土壤微生物修复</w:t>
      </w:r>
      <w:r>
        <w:rPr>
          <w:rFonts w:hint="eastAsia" w:ascii="Times New Roman" w:hAnsi="Times New Roman" w:cs="Times New Roman"/>
          <w:color w:val="000000"/>
          <w:spacing w:val="10"/>
          <w:sz w:val="24"/>
          <w:szCs w:val="24"/>
          <w:highlight w:val="none"/>
          <w:lang w:val="en-US" w:eastAsia="zh-CN"/>
        </w:rPr>
        <w:t>指南</w:t>
      </w:r>
      <w:r>
        <w:rPr>
          <w:rFonts w:hint="default" w:ascii="Times New Roman" w:hAnsi="Times New Roman" w:cs="Times New Roman"/>
          <w:color w:val="000000"/>
          <w:spacing w:val="10"/>
          <w:sz w:val="24"/>
          <w:szCs w:val="24"/>
          <w:highlight w:val="none"/>
          <w:lang w:val="en-US" w:eastAsia="zh-CN"/>
        </w:rPr>
        <w:t>。本标准</w:t>
      </w:r>
      <w:r>
        <w:rPr>
          <w:rFonts w:hint="eastAsia" w:ascii="Times New Roman" w:hAnsi="Times New Roman" w:cs="Times New Roman"/>
          <w:color w:val="000000"/>
          <w:spacing w:val="10"/>
          <w:sz w:val="24"/>
          <w:szCs w:val="24"/>
          <w:highlight w:val="none"/>
          <w:lang w:val="en-US" w:eastAsia="zh-CN"/>
        </w:rPr>
        <w:t>借鉴</w:t>
      </w:r>
      <w:r>
        <w:rPr>
          <w:rFonts w:hint="default" w:ascii="Times New Roman" w:hAnsi="Times New Roman" w:cs="Times New Roman"/>
          <w:color w:val="000000"/>
          <w:spacing w:val="10"/>
          <w:sz w:val="24"/>
          <w:szCs w:val="24"/>
          <w:highlight w:val="none"/>
          <w:lang w:val="en-US" w:eastAsia="zh-CN"/>
        </w:rPr>
        <w:t>HY/T 0286-2020重新起草。本标准与HY/T 0286-2020的主要差异如下：</w:t>
      </w:r>
    </w:p>
    <w:p>
      <w:pPr>
        <w:numPr>
          <w:ilvl w:val="0"/>
          <w:numId w:val="5"/>
        </w:numPr>
        <w:spacing w:line="360" w:lineRule="auto"/>
        <w:ind w:leftChars="0" w:firstLine="560"/>
        <w:rPr>
          <w:rFonts w:hint="default" w:ascii="Times New Roman" w:hAnsi="Times New Roman" w:cs="Times New Roman"/>
          <w:color w:val="000000"/>
          <w:spacing w:val="10"/>
          <w:sz w:val="24"/>
          <w:szCs w:val="24"/>
          <w:highlight w:val="none"/>
          <w:lang w:val="en-US" w:eastAsia="zh-CN"/>
        </w:rPr>
      </w:pPr>
      <w:r>
        <w:rPr>
          <w:rFonts w:hint="default" w:ascii="Times New Roman" w:hAnsi="Times New Roman" w:cs="Times New Roman"/>
          <w:color w:val="000000"/>
          <w:spacing w:val="10"/>
          <w:sz w:val="24"/>
          <w:szCs w:val="24"/>
          <w:highlight w:val="none"/>
          <w:lang w:val="en-US" w:eastAsia="zh-CN"/>
        </w:rPr>
        <w:t>本标准适用于</w:t>
      </w:r>
      <w:r>
        <w:rPr>
          <w:rFonts w:hint="eastAsia" w:ascii="Times New Roman" w:hAnsi="Times New Roman" w:cs="Times New Roman"/>
          <w:color w:val="000000"/>
          <w:spacing w:val="10"/>
          <w:sz w:val="24"/>
          <w:szCs w:val="24"/>
          <w:highlight w:val="none"/>
          <w:lang w:val="en-US" w:eastAsia="zh-CN"/>
        </w:rPr>
        <w:t>针对</w:t>
      </w:r>
      <w:r>
        <w:rPr>
          <w:rFonts w:hint="default" w:ascii="Times New Roman" w:hAnsi="Times New Roman" w:cs="Times New Roman"/>
          <w:color w:val="000000"/>
          <w:spacing w:val="10"/>
          <w:sz w:val="24"/>
          <w:szCs w:val="24"/>
          <w:highlight w:val="none"/>
          <w:lang w:val="en-US" w:eastAsia="zh-CN"/>
        </w:rPr>
        <w:t>《国家危险废物名录》中规定的</w:t>
      </w:r>
      <w:r>
        <w:rPr>
          <w:rFonts w:hint="eastAsia" w:ascii="Times New Roman" w:hAnsi="Times New Roman" w:cs="Times New Roman"/>
          <w:color w:val="000000"/>
          <w:spacing w:val="10"/>
          <w:sz w:val="24"/>
          <w:szCs w:val="24"/>
          <w:highlight w:val="none"/>
          <w:lang w:val="en-US" w:eastAsia="zh-CN"/>
        </w:rPr>
        <w:t>HW08类中的石油污染土壤/油泥</w:t>
      </w:r>
      <w:r>
        <w:rPr>
          <w:rFonts w:hint="default" w:ascii="Times New Roman" w:hAnsi="Times New Roman" w:cs="Times New Roman"/>
          <w:color w:val="000000"/>
          <w:spacing w:val="10"/>
          <w:sz w:val="24"/>
          <w:szCs w:val="24"/>
          <w:highlight w:val="none"/>
          <w:lang w:val="en-US" w:eastAsia="zh-CN"/>
        </w:rPr>
        <w:t>，</w:t>
      </w:r>
      <w:r>
        <w:rPr>
          <w:rFonts w:hint="eastAsia" w:ascii="Times New Roman" w:hAnsi="Times New Roman" w:cs="Times New Roman"/>
          <w:color w:val="000000"/>
          <w:spacing w:val="10"/>
          <w:sz w:val="24"/>
          <w:szCs w:val="24"/>
          <w:highlight w:val="none"/>
          <w:lang w:val="en-US" w:eastAsia="zh-CN"/>
        </w:rPr>
        <w:t>石油烃污染的场地或废弃井场、脱水处理后的含油污泥等均</w:t>
      </w:r>
      <w:r>
        <w:rPr>
          <w:rFonts w:hint="default" w:ascii="Times New Roman" w:hAnsi="Times New Roman" w:cs="Times New Roman"/>
          <w:color w:val="000000"/>
          <w:spacing w:val="10"/>
          <w:sz w:val="24"/>
          <w:szCs w:val="24"/>
          <w:highlight w:val="none"/>
          <w:lang w:val="en-US" w:eastAsia="zh-CN"/>
        </w:rPr>
        <w:t>可参照执行本标准。而HY/T 0286-2020适用于受石油污染的海洋岸滩的微生物修复。</w:t>
      </w:r>
    </w:p>
    <w:p>
      <w:pPr>
        <w:numPr>
          <w:ilvl w:val="0"/>
          <w:numId w:val="5"/>
        </w:numPr>
        <w:spacing w:line="360" w:lineRule="auto"/>
        <w:ind w:leftChars="0" w:firstLine="560"/>
        <w:rPr>
          <w:rFonts w:hint="default" w:ascii="Times New Roman" w:hAnsi="Times New Roman" w:cs="Times New Roman"/>
          <w:color w:val="000000"/>
          <w:spacing w:val="10"/>
          <w:sz w:val="24"/>
          <w:szCs w:val="24"/>
          <w:highlight w:val="none"/>
          <w:lang w:val="en-US" w:eastAsia="zh-CN"/>
        </w:rPr>
      </w:pPr>
      <w:r>
        <w:rPr>
          <w:rFonts w:hint="default" w:ascii="Times New Roman" w:hAnsi="Times New Roman" w:cs="Times New Roman"/>
          <w:color w:val="000000"/>
          <w:spacing w:val="10"/>
          <w:sz w:val="24"/>
          <w:szCs w:val="24"/>
          <w:highlight w:val="none"/>
          <w:lang w:val="en-US" w:eastAsia="zh-CN"/>
        </w:rPr>
        <w:t>本标准规定了通过</w:t>
      </w:r>
      <w:r>
        <w:rPr>
          <w:rFonts w:hint="eastAsia" w:ascii="Times New Roman" w:hAnsi="Times New Roman" w:cs="Times New Roman"/>
          <w:color w:val="000000"/>
          <w:spacing w:val="10"/>
          <w:sz w:val="24"/>
          <w:szCs w:val="24"/>
          <w:highlight w:val="none"/>
          <w:lang w:val="en-US" w:eastAsia="zh-CN"/>
        </w:rPr>
        <w:t>石油烃降解菌剂的筛选原则与固定化方式，</w:t>
      </w:r>
      <w:r>
        <w:rPr>
          <w:rFonts w:hint="default" w:ascii="Times New Roman" w:hAnsi="Times New Roman" w:cs="Times New Roman"/>
          <w:color w:val="000000"/>
          <w:spacing w:val="10"/>
          <w:sz w:val="24"/>
          <w:szCs w:val="24"/>
          <w:highlight w:val="none"/>
          <w:lang w:val="en-US" w:eastAsia="zh-CN"/>
        </w:rPr>
        <w:t>而HY/T 0286-2020未规定</w:t>
      </w:r>
      <w:r>
        <w:rPr>
          <w:rFonts w:hint="eastAsia" w:ascii="Times New Roman" w:hAnsi="Times New Roman" w:cs="Times New Roman"/>
          <w:color w:val="000000"/>
          <w:spacing w:val="10"/>
          <w:sz w:val="24"/>
          <w:szCs w:val="24"/>
          <w:highlight w:val="none"/>
          <w:lang w:val="en-US" w:eastAsia="zh-CN"/>
        </w:rPr>
        <w:t>菌剂固定化方式</w:t>
      </w:r>
      <w:r>
        <w:rPr>
          <w:rFonts w:hint="default" w:ascii="Times New Roman" w:hAnsi="Times New Roman" w:cs="Times New Roman"/>
          <w:color w:val="000000"/>
          <w:spacing w:val="10"/>
          <w:sz w:val="24"/>
          <w:szCs w:val="24"/>
          <w:highlight w:val="none"/>
          <w:lang w:val="en-US" w:eastAsia="zh-CN"/>
        </w:rPr>
        <w:t>。</w:t>
      </w:r>
    </w:p>
    <w:p>
      <w:pPr>
        <w:numPr>
          <w:ilvl w:val="0"/>
          <w:numId w:val="0"/>
        </w:numPr>
        <w:spacing w:line="360" w:lineRule="auto"/>
        <w:ind w:leftChars="0" w:firstLine="560"/>
        <w:rPr>
          <w:rFonts w:hint="default" w:ascii="Times New Roman" w:hAnsi="Times New Roman" w:cs="Times New Roman"/>
          <w:color w:val="000000"/>
          <w:spacing w:val="10"/>
          <w:sz w:val="24"/>
          <w:szCs w:val="24"/>
          <w:highlight w:val="none"/>
          <w:lang w:val="en-US" w:eastAsia="zh-CN"/>
        </w:rPr>
      </w:pPr>
      <w:r>
        <w:rPr>
          <w:rFonts w:hint="eastAsia" w:ascii="Times New Roman" w:hAnsi="Times New Roman" w:cs="Times New Roman"/>
          <w:color w:val="000000"/>
          <w:spacing w:val="10"/>
          <w:sz w:val="24"/>
          <w:szCs w:val="24"/>
          <w:highlight w:val="none"/>
          <w:lang w:val="en-US" w:eastAsia="zh-CN"/>
        </w:rPr>
        <w:t>3、</w:t>
      </w:r>
      <w:r>
        <w:rPr>
          <w:rFonts w:hint="default" w:ascii="Times New Roman" w:hAnsi="Times New Roman" w:cs="Times New Roman"/>
          <w:color w:val="000000"/>
          <w:spacing w:val="10"/>
          <w:sz w:val="24"/>
          <w:szCs w:val="24"/>
          <w:highlight w:val="none"/>
          <w:lang w:val="en-US" w:eastAsia="zh-CN"/>
        </w:rPr>
        <w:t>本标准</w:t>
      </w:r>
      <w:r>
        <w:rPr>
          <w:rFonts w:hint="eastAsia" w:ascii="Times New Roman" w:hAnsi="Times New Roman" w:cs="Times New Roman"/>
          <w:color w:val="000000"/>
          <w:spacing w:val="10"/>
          <w:sz w:val="24"/>
          <w:szCs w:val="24"/>
          <w:highlight w:val="none"/>
          <w:lang w:val="en-US" w:eastAsia="zh-CN"/>
        </w:rPr>
        <w:t>规定了针对不同的情况下合理选择原位修复或异位修复的修复方式：（1）</w:t>
      </w:r>
      <w:r>
        <w:rPr>
          <w:rFonts w:hint="default" w:ascii="Times New Roman" w:hAnsi="Times New Roman" w:cs="Times New Roman"/>
          <w:color w:val="000000"/>
          <w:spacing w:val="10"/>
          <w:sz w:val="24"/>
          <w:szCs w:val="24"/>
          <w:highlight w:val="none"/>
          <w:lang w:val="en-US" w:eastAsia="zh-CN"/>
        </w:rPr>
        <w:t>场地类型：输油管线泄露等产生的高浓度石油污染土壤建议异位修复，废弃井场及沉降形成的常规低浓度石油污染土壤建议原位修复；（2）土壤参数：土壤有机质含量低、持水差、微生物浓度低、石油烃降解菌丰度低的区域建议异位修复，土壤有机质含量较丰富、石油烃降解菌丰度高的区域建议原位修复。HY/T 0286-2020</w:t>
      </w:r>
      <w:r>
        <w:rPr>
          <w:rFonts w:hint="eastAsia" w:ascii="Times New Roman" w:hAnsi="Times New Roman" w:cs="Times New Roman"/>
          <w:color w:val="000000"/>
          <w:spacing w:val="10"/>
          <w:sz w:val="24"/>
          <w:szCs w:val="24"/>
          <w:highlight w:val="none"/>
          <w:lang w:val="en-US" w:eastAsia="zh-CN"/>
        </w:rPr>
        <w:t>的应用范围仅限于海岸线石油污染的原位修复</w:t>
      </w:r>
      <w:r>
        <w:rPr>
          <w:rFonts w:hint="default" w:ascii="Times New Roman" w:hAnsi="Times New Roman" w:cs="Times New Roman"/>
          <w:color w:val="000000"/>
          <w:spacing w:val="10"/>
          <w:sz w:val="24"/>
          <w:szCs w:val="24"/>
          <w:highlight w:val="none"/>
          <w:lang w:val="en-US" w:eastAsia="zh-CN"/>
        </w:rPr>
        <w:t>。</w:t>
      </w:r>
    </w:p>
    <w:p>
      <w:pPr>
        <w:numPr>
          <w:ilvl w:val="0"/>
          <w:numId w:val="0"/>
        </w:numPr>
        <w:spacing w:line="360" w:lineRule="auto"/>
        <w:ind w:leftChars="0" w:firstLine="560"/>
        <w:rPr>
          <w:rFonts w:hint="default" w:ascii="Times New Roman" w:hAnsi="Times New Roman" w:cs="Times New Roman"/>
          <w:color w:val="000000"/>
          <w:spacing w:val="10"/>
          <w:sz w:val="24"/>
          <w:szCs w:val="24"/>
          <w:highlight w:val="none"/>
          <w:lang w:val="en-US" w:eastAsia="zh-CN"/>
        </w:rPr>
      </w:pPr>
      <w:r>
        <w:rPr>
          <w:rFonts w:hint="default" w:ascii="Times New Roman" w:hAnsi="Times New Roman" w:cs="Times New Roman"/>
          <w:color w:val="000000"/>
          <w:spacing w:val="10"/>
          <w:sz w:val="24"/>
          <w:szCs w:val="24"/>
          <w:highlight w:val="none"/>
          <w:lang w:val="en-US" w:eastAsia="zh-CN"/>
        </w:rPr>
        <w:t>4、本标准</w:t>
      </w:r>
      <w:r>
        <w:rPr>
          <w:rFonts w:hint="eastAsia" w:ascii="Times New Roman" w:hAnsi="Times New Roman" w:cs="Times New Roman"/>
          <w:color w:val="000000"/>
          <w:spacing w:val="10"/>
          <w:sz w:val="24"/>
          <w:szCs w:val="24"/>
          <w:highlight w:val="none"/>
          <w:lang w:val="en-US" w:eastAsia="zh-CN"/>
        </w:rPr>
        <w:t>规定了</w:t>
      </w:r>
      <w:r>
        <w:rPr>
          <w:rFonts w:hint="default" w:ascii="Times New Roman" w:hAnsi="Times New Roman" w:cs="Times New Roman"/>
          <w:color w:val="000000"/>
          <w:spacing w:val="10"/>
          <w:sz w:val="24"/>
          <w:szCs w:val="24"/>
          <w:highlight w:val="none"/>
          <w:lang w:val="en-US" w:eastAsia="zh-CN"/>
        </w:rPr>
        <w:t>经修复后的石油污染土壤</w:t>
      </w:r>
      <w:r>
        <w:rPr>
          <w:rFonts w:hint="eastAsia" w:ascii="Times New Roman" w:hAnsi="Times New Roman" w:cs="Times New Roman"/>
          <w:color w:val="000000"/>
          <w:spacing w:val="10"/>
          <w:sz w:val="24"/>
          <w:szCs w:val="24"/>
          <w:highlight w:val="none"/>
          <w:lang w:val="en-US" w:eastAsia="zh-CN"/>
        </w:rPr>
        <w:t>的后续利用方式：（1）</w:t>
      </w:r>
      <w:r>
        <w:rPr>
          <w:rFonts w:hint="default" w:ascii="Times New Roman" w:hAnsi="Times New Roman" w:cs="Times New Roman"/>
          <w:color w:val="000000"/>
          <w:spacing w:val="10"/>
          <w:sz w:val="24"/>
          <w:szCs w:val="24"/>
          <w:highlight w:val="none"/>
          <w:lang w:val="en-US" w:eastAsia="zh-CN"/>
        </w:rPr>
        <w:t>石油烃总量不大于2%的时候可用于铺设油田井场和铺井路</w:t>
      </w:r>
      <w:r>
        <w:rPr>
          <w:rFonts w:hint="eastAsia" w:ascii="Times New Roman" w:hAnsi="Times New Roman" w:cs="Times New Roman"/>
          <w:color w:val="000000"/>
          <w:spacing w:val="10"/>
          <w:sz w:val="24"/>
          <w:szCs w:val="24"/>
          <w:highlight w:val="none"/>
          <w:lang w:val="en-US" w:eastAsia="zh-CN"/>
        </w:rPr>
        <w:t>；（2）</w:t>
      </w:r>
      <w:r>
        <w:rPr>
          <w:rFonts w:hint="default" w:ascii="Times New Roman" w:hAnsi="Times New Roman" w:cs="Times New Roman"/>
          <w:color w:val="000000"/>
          <w:spacing w:val="10"/>
          <w:sz w:val="24"/>
          <w:szCs w:val="24"/>
          <w:highlight w:val="none"/>
          <w:lang w:val="en-US" w:eastAsia="zh-CN"/>
        </w:rPr>
        <w:t>修复后的石油污染土壤用于绿化用土时，还应满足《城市污水处理厂污泥处置园林绿化用泥质》（GB/T 23486-2009）中其他规定的要求。HY/T 0286-2020</w:t>
      </w:r>
      <w:r>
        <w:rPr>
          <w:rFonts w:hint="eastAsia" w:ascii="Times New Roman" w:hAnsi="Times New Roman" w:cs="Times New Roman"/>
          <w:color w:val="000000"/>
          <w:spacing w:val="10"/>
          <w:sz w:val="24"/>
          <w:szCs w:val="24"/>
          <w:highlight w:val="none"/>
          <w:lang w:val="en-US" w:eastAsia="zh-CN"/>
        </w:rPr>
        <w:t>仅规定了修复终点：（a）当沉积物中石油污染物浓度检测值接近污染前的背景值时；（b）当微生物修复方法的使用不能继续提高石油降解率或降解率达到 70%以上时。</w:t>
      </w:r>
    </w:p>
    <w:p>
      <w:pPr>
        <w:numPr>
          <w:ilvl w:val="0"/>
          <w:numId w:val="0"/>
        </w:numPr>
        <w:spacing w:line="360" w:lineRule="auto"/>
        <w:ind w:leftChars="0" w:firstLine="560"/>
        <w:rPr>
          <w:rFonts w:hint="default" w:ascii="Times New Roman" w:hAnsi="Times New Roman" w:cs="Times New Roman"/>
          <w:color w:val="000000"/>
          <w:spacing w:val="10"/>
          <w:sz w:val="24"/>
          <w:szCs w:val="24"/>
          <w:highlight w:val="none"/>
          <w:lang w:val="en-US" w:eastAsia="zh-CN"/>
        </w:rPr>
      </w:pPr>
      <w:r>
        <w:rPr>
          <w:rFonts w:hint="default" w:ascii="Times New Roman" w:hAnsi="Times New Roman" w:cs="Times New Roman"/>
          <w:color w:val="000000"/>
          <w:spacing w:val="10"/>
          <w:sz w:val="24"/>
          <w:szCs w:val="24"/>
          <w:highlight w:val="none"/>
          <w:lang w:val="en-US" w:eastAsia="zh-CN"/>
        </w:rPr>
        <w:t>因此，本标准的制定是在HY/T 0286-2020</w:t>
      </w:r>
      <w:r>
        <w:rPr>
          <w:rFonts w:hint="eastAsia" w:ascii="Times New Roman" w:hAnsi="Times New Roman" w:cs="Times New Roman"/>
          <w:color w:val="000000"/>
          <w:spacing w:val="10"/>
          <w:sz w:val="24"/>
          <w:szCs w:val="24"/>
          <w:highlight w:val="none"/>
          <w:lang w:val="en-US" w:eastAsia="zh-CN"/>
        </w:rPr>
        <w:t>《</w:t>
      </w:r>
      <w:r>
        <w:rPr>
          <w:rFonts w:hint="default" w:ascii="Times New Roman" w:hAnsi="Times New Roman" w:cs="Times New Roman"/>
          <w:color w:val="000000"/>
          <w:spacing w:val="10"/>
          <w:sz w:val="24"/>
          <w:szCs w:val="24"/>
          <w:highlight w:val="none"/>
          <w:lang w:val="en-US" w:eastAsia="zh-CN"/>
        </w:rPr>
        <w:t>海洋岸滩石油污染微生物修复指南</w:t>
      </w:r>
      <w:r>
        <w:rPr>
          <w:rFonts w:hint="eastAsia" w:ascii="Times New Roman" w:hAnsi="Times New Roman" w:cs="Times New Roman"/>
          <w:color w:val="000000"/>
          <w:spacing w:val="10"/>
          <w:sz w:val="24"/>
          <w:szCs w:val="24"/>
          <w:highlight w:val="none"/>
          <w:lang w:val="en-US" w:eastAsia="zh-CN"/>
        </w:rPr>
        <w:t>》</w:t>
      </w:r>
      <w:r>
        <w:rPr>
          <w:rFonts w:hint="default" w:ascii="Times New Roman" w:hAnsi="Times New Roman" w:cs="Times New Roman"/>
          <w:color w:val="000000"/>
          <w:spacing w:val="10"/>
          <w:sz w:val="24"/>
          <w:szCs w:val="24"/>
          <w:highlight w:val="none"/>
          <w:lang w:val="en-US" w:eastAsia="zh-CN"/>
        </w:rPr>
        <w:t>的基础上，根据</w:t>
      </w:r>
      <w:r>
        <w:rPr>
          <w:rFonts w:hint="eastAsia" w:ascii="Times New Roman" w:hAnsi="Times New Roman" w:cs="Times New Roman"/>
          <w:color w:val="000000"/>
          <w:spacing w:val="10"/>
          <w:sz w:val="24"/>
          <w:szCs w:val="24"/>
          <w:highlight w:val="none"/>
          <w:lang w:val="en-US" w:eastAsia="zh-CN"/>
        </w:rPr>
        <w:t>石油污染治理技术</w:t>
      </w:r>
      <w:r>
        <w:rPr>
          <w:rFonts w:hint="default" w:ascii="Times New Roman" w:hAnsi="Times New Roman" w:cs="Times New Roman"/>
          <w:color w:val="000000"/>
          <w:spacing w:val="10"/>
          <w:sz w:val="24"/>
          <w:szCs w:val="24"/>
          <w:highlight w:val="none"/>
          <w:lang w:val="en-US" w:eastAsia="zh-CN"/>
        </w:rPr>
        <w:t>的发展，依据最新</w:t>
      </w:r>
      <w:r>
        <w:rPr>
          <w:rFonts w:hint="eastAsia" w:ascii="Times New Roman" w:hAnsi="Times New Roman" w:cs="Times New Roman"/>
          <w:color w:val="000000"/>
          <w:spacing w:val="10"/>
          <w:sz w:val="24"/>
          <w:szCs w:val="24"/>
          <w:highlight w:val="none"/>
          <w:lang w:val="en-US" w:eastAsia="zh-CN"/>
        </w:rPr>
        <w:t>需求</w:t>
      </w:r>
      <w:r>
        <w:rPr>
          <w:rFonts w:hint="default" w:ascii="Times New Roman" w:hAnsi="Times New Roman" w:cs="Times New Roman"/>
          <w:color w:val="000000"/>
          <w:spacing w:val="10"/>
          <w:sz w:val="24"/>
          <w:szCs w:val="24"/>
          <w:highlight w:val="none"/>
          <w:lang w:val="en-US" w:eastAsia="zh-CN"/>
        </w:rPr>
        <w:t>，扩展了</w:t>
      </w:r>
      <w:r>
        <w:rPr>
          <w:rFonts w:hint="eastAsia" w:ascii="Times New Roman" w:hAnsi="Times New Roman" w:cs="Times New Roman"/>
          <w:color w:val="000000"/>
          <w:spacing w:val="10"/>
          <w:sz w:val="24"/>
          <w:szCs w:val="24"/>
          <w:highlight w:val="none"/>
          <w:lang w:val="en-US" w:eastAsia="zh-CN"/>
        </w:rPr>
        <w:t>微生物修复</w:t>
      </w:r>
      <w:r>
        <w:rPr>
          <w:rFonts w:hint="default" w:ascii="Times New Roman" w:hAnsi="Times New Roman" w:cs="Times New Roman"/>
          <w:color w:val="000000"/>
          <w:spacing w:val="10"/>
          <w:sz w:val="24"/>
          <w:szCs w:val="24"/>
          <w:highlight w:val="none"/>
          <w:lang w:val="en-US" w:eastAsia="zh-CN"/>
        </w:rPr>
        <w:t>的</w:t>
      </w:r>
      <w:r>
        <w:rPr>
          <w:rFonts w:hint="eastAsia" w:ascii="Times New Roman" w:hAnsi="Times New Roman" w:cs="Times New Roman"/>
          <w:color w:val="000000"/>
          <w:spacing w:val="10"/>
          <w:sz w:val="24"/>
          <w:szCs w:val="24"/>
          <w:highlight w:val="none"/>
          <w:lang w:val="en-US" w:eastAsia="zh-CN"/>
        </w:rPr>
        <w:t>适用范围</w:t>
      </w:r>
      <w:r>
        <w:rPr>
          <w:rFonts w:hint="default" w:ascii="Times New Roman" w:hAnsi="Times New Roman" w:cs="Times New Roman"/>
          <w:color w:val="000000"/>
          <w:spacing w:val="10"/>
          <w:sz w:val="24"/>
          <w:szCs w:val="24"/>
          <w:highlight w:val="none"/>
          <w:lang w:val="en-US" w:eastAsia="zh-CN"/>
        </w:rPr>
        <w:t>，并</w:t>
      </w:r>
      <w:r>
        <w:rPr>
          <w:rFonts w:hint="eastAsia" w:ascii="Times New Roman" w:hAnsi="Times New Roman" w:cs="Times New Roman"/>
          <w:color w:val="000000"/>
          <w:spacing w:val="10"/>
          <w:sz w:val="24"/>
          <w:szCs w:val="24"/>
          <w:highlight w:val="none"/>
          <w:lang w:val="en-US" w:eastAsia="zh-CN"/>
        </w:rPr>
        <w:t>对修复流程与修复后的利用途径</w:t>
      </w:r>
      <w:r>
        <w:rPr>
          <w:rFonts w:hint="default" w:ascii="Times New Roman" w:hAnsi="Times New Roman" w:cs="Times New Roman"/>
          <w:color w:val="000000"/>
          <w:spacing w:val="10"/>
          <w:sz w:val="24"/>
          <w:szCs w:val="24"/>
          <w:highlight w:val="none"/>
          <w:lang w:val="en-US" w:eastAsia="zh-CN"/>
        </w:rPr>
        <w:t>进行了更明确的界定。</w:t>
      </w:r>
    </w:p>
    <w:p>
      <w:pPr>
        <w:numPr>
          <w:ilvl w:val="0"/>
          <w:numId w:val="1"/>
        </w:numPr>
        <w:rPr>
          <w:rFonts w:hint="default" w:ascii="Times New Roman" w:hAnsi="Times New Roman" w:cs="Times New Roman"/>
          <w:b/>
          <w:bCs/>
          <w:sz w:val="28"/>
          <w:szCs w:val="28"/>
          <w:highlight w:val="none"/>
          <w:lang w:val="en-US" w:eastAsia="zh-CN"/>
        </w:rPr>
      </w:pPr>
      <w:r>
        <w:rPr>
          <w:rFonts w:hint="default" w:ascii="Times New Roman" w:hAnsi="Times New Roman" w:cs="Times New Roman"/>
          <w:b/>
          <w:bCs/>
          <w:sz w:val="28"/>
          <w:szCs w:val="28"/>
          <w:highlight w:val="none"/>
          <w:lang w:val="en-US" w:eastAsia="zh-CN"/>
        </w:rPr>
        <w:t>确定标准主要（技术）内容的依据及说明</w:t>
      </w:r>
    </w:p>
    <w:p>
      <w:pPr>
        <w:numPr>
          <w:ilvl w:val="0"/>
          <w:numId w:val="0"/>
        </w:numPr>
        <w:spacing w:line="360" w:lineRule="auto"/>
        <w:ind w:leftChars="0" w:firstLine="560"/>
        <w:rPr>
          <w:rFonts w:hint="default" w:ascii="Times New Roman" w:hAnsi="Times New Roman" w:cs="Times New Roman"/>
          <w:color w:val="000000"/>
          <w:spacing w:val="10"/>
          <w:sz w:val="24"/>
          <w:szCs w:val="24"/>
          <w:highlight w:val="none"/>
          <w:lang w:val="en-US" w:eastAsia="zh-CN"/>
        </w:rPr>
      </w:pPr>
      <w:r>
        <w:rPr>
          <w:rFonts w:hint="default" w:ascii="Times New Roman" w:hAnsi="Times New Roman" w:cs="Times New Roman"/>
          <w:color w:val="000000"/>
          <w:spacing w:val="10"/>
          <w:sz w:val="24"/>
          <w:szCs w:val="24"/>
          <w:highlight w:val="none"/>
          <w:lang w:val="en-US" w:eastAsia="zh-CN"/>
        </w:rPr>
        <w:t>石油污染土壤微生物修复的流程、</w:t>
      </w:r>
      <w:r>
        <w:rPr>
          <w:rFonts w:hint="eastAsia" w:ascii="Times New Roman" w:hAnsi="Times New Roman" w:cs="Times New Roman"/>
          <w:color w:val="000000"/>
          <w:spacing w:val="10"/>
          <w:sz w:val="24"/>
          <w:szCs w:val="24"/>
          <w:highlight w:val="none"/>
          <w:lang w:val="en-US" w:eastAsia="zh-CN"/>
        </w:rPr>
        <w:t>菌剂类型、施工方式、养护方法和监测指标的</w:t>
      </w:r>
      <w:r>
        <w:rPr>
          <w:rFonts w:hint="default" w:ascii="Times New Roman" w:hAnsi="Times New Roman" w:cs="Times New Roman"/>
          <w:color w:val="000000"/>
          <w:spacing w:val="10"/>
          <w:sz w:val="24"/>
          <w:szCs w:val="24"/>
          <w:highlight w:val="none"/>
          <w:lang w:val="en-US" w:eastAsia="zh-CN"/>
        </w:rPr>
        <w:t>确定。</w:t>
      </w:r>
    </w:p>
    <w:p>
      <w:pPr>
        <w:numPr>
          <w:ilvl w:val="0"/>
          <w:numId w:val="1"/>
        </w:numPr>
        <w:rPr>
          <w:rFonts w:hint="default" w:ascii="Times New Roman" w:hAnsi="Times New Roman" w:cs="Times New Roman"/>
          <w:b/>
          <w:bCs/>
          <w:sz w:val="28"/>
          <w:szCs w:val="28"/>
          <w:highlight w:val="none"/>
          <w:lang w:val="en-US" w:eastAsia="zh-CN"/>
        </w:rPr>
      </w:pPr>
      <w:r>
        <w:rPr>
          <w:rFonts w:hint="default" w:ascii="Times New Roman" w:hAnsi="Times New Roman" w:cs="Times New Roman"/>
          <w:b/>
          <w:bCs/>
          <w:sz w:val="28"/>
          <w:szCs w:val="28"/>
          <w:highlight w:val="none"/>
          <w:lang w:val="en-US" w:eastAsia="zh-CN"/>
        </w:rPr>
        <w:t>重大意见分歧的处理依据好结果</w:t>
      </w:r>
    </w:p>
    <w:p>
      <w:pPr>
        <w:numPr>
          <w:ilvl w:val="0"/>
          <w:numId w:val="0"/>
        </w:numPr>
        <w:spacing w:line="360" w:lineRule="auto"/>
        <w:ind w:leftChars="0" w:firstLine="560"/>
        <w:rPr>
          <w:rFonts w:hint="default" w:ascii="Times New Roman" w:hAnsi="Times New Roman" w:cs="Times New Roman"/>
          <w:color w:val="000000"/>
          <w:spacing w:val="10"/>
          <w:sz w:val="24"/>
          <w:szCs w:val="24"/>
          <w:highlight w:val="none"/>
          <w:lang w:val="en-US" w:eastAsia="zh-CN"/>
        </w:rPr>
      </w:pPr>
      <w:r>
        <w:rPr>
          <w:rFonts w:hint="default" w:ascii="Times New Roman" w:hAnsi="Times New Roman" w:cs="Times New Roman"/>
          <w:color w:val="000000"/>
          <w:spacing w:val="10"/>
          <w:sz w:val="24"/>
          <w:szCs w:val="24"/>
          <w:highlight w:val="none"/>
          <w:lang w:val="en-US" w:eastAsia="zh-CN"/>
        </w:rPr>
        <w:t>目前暂无重大意见分歧，待正式征求意见后若有重大意见分歧再补充。</w:t>
      </w:r>
    </w:p>
    <w:p>
      <w:pPr>
        <w:numPr>
          <w:ilvl w:val="0"/>
          <w:numId w:val="1"/>
        </w:numPr>
        <w:rPr>
          <w:rFonts w:hint="default" w:ascii="Times New Roman" w:hAnsi="Times New Roman" w:cs="Times New Roman"/>
          <w:b/>
          <w:bCs/>
          <w:sz w:val="28"/>
          <w:szCs w:val="28"/>
          <w:highlight w:val="none"/>
          <w:lang w:val="en-US" w:eastAsia="zh-CN"/>
        </w:rPr>
      </w:pPr>
      <w:r>
        <w:rPr>
          <w:rFonts w:hint="default" w:ascii="Times New Roman" w:hAnsi="Times New Roman" w:cs="Times New Roman"/>
          <w:b/>
          <w:bCs/>
          <w:sz w:val="28"/>
          <w:szCs w:val="28"/>
          <w:highlight w:val="none"/>
          <w:lang w:val="en-US" w:eastAsia="zh-CN"/>
        </w:rPr>
        <w:t>作为推荐性或强制性标准的建议及理由</w:t>
      </w:r>
    </w:p>
    <w:p>
      <w:pPr>
        <w:numPr>
          <w:ilvl w:val="0"/>
          <w:numId w:val="0"/>
        </w:numPr>
        <w:spacing w:line="360" w:lineRule="auto"/>
        <w:ind w:leftChars="0" w:firstLine="560"/>
        <w:rPr>
          <w:rFonts w:hint="default" w:ascii="Times New Roman" w:hAnsi="Times New Roman" w:cs="Times New Roman"/>
          <w:color w:val="000000"/>
          <w:spacing w:val="10"/>
          <w:sz w:val="24"/>
          <w:szCs w:val="24"/>
          <w:highlight w:val="none"/>
          <w:lang w:val="en-US" w:eastAsia="zh-CN"/>
        </w:rPr>
      </w:pPr>
      <w:r>
        <w:rPr>
          <w:rFonts w:hint="default" w:ascii="Times New Roman" w:hAnsi="Times New Roman" w:cs="Times New Roman"/>
          <w:color w:val="000000"/>
          <w:spacing w:val="10"/>
          <w:sz w:val="24"/>
          <w:szCs w:val="24"/>
          <w:highlight w:val="none"/>
          <w:lang w:val="en-US" w:eastAsia="zh-CN"/>
        </w:rPr>
        <w:t>建议作为推荐性标准发布实施。</w:t>
      </w:r>
    </w:p>
    <w:p>
      <w:pPr>
        <w:numPr>
          <w:ilvl w:val="0"/>
          <w:numId w:val="1"/>
        </w:numPr>
        <w:rPr>
          <w:rFonts w:hint="default" w:ascii="Times New Roman" w:hAnsi="Times New Roman" w:cs="Times New Roman"/>
          <w:b/>
          <w:bCs/>
          <w:sz w:val="28"/>
          <w:szCs w:val="28"/>
          <w:highlight w:val="none"/>
          <w:lang w:val="en-US" w:eastAsia="zh-CN"/>
        </w:rPr>
      </w:pPr>
      <w:r>
        <w:rPr>
          <w:rFonts w:hint="default" w:ascii="Times New Roman" w:hAnsi="Times New Roman" w:cs="Times New Roman"/>
          <w:b/>
          <w:bCs/>
          <w:sz w:val="28"/>
          <w:szCs w:val="28"/>
          <w:highlight w:val="none"/>
          <w:lang w:val="en-US" w:eastAsia="zh-CN"/>
        </w:rPr>
        <w:t>贯彻标准的措施</w:t>
      </w:r>
    </w:p>
    <w:p>
      <w:pPr>
        <w:numPr>
          <w:ilvl w:val="0"/>
          <w:numId w:val="0"/>
        </w:numPr>
        <w:spacing w:line="360" w:lineRule="auto"/>
        <w:ind w:leftChars="0" w:firstLine="560"/>
        <w:rPr>
          <w:rFonts w:hint="default" w:ascii="Times New Roman" w:hAnsi="Times New Roman" w:cs="Times New Roman"/>
          <w:color w:val="000000"/>
          <w:spacing w:val="10"/>
          <w:sz w:val="24"/>
          <w:szCs w:val="24"/>
          <w:highlight w:val="none"/>
          <w:lang w:val="en-US" w:eastAsia="zh-CN"/>
        </w:rPr>
      </w:pPr>
      <w:r>
        <w:rPr>
          <w:rFonts w:hint="default" w:ascii="Times New Roman" w:hAnsi="Times New Roman" w:cs="Times New Roman"/>
          <w:color w:val="000000"/>
          <w:spacing w:val="10"/>
          <w:sz w:val="24"/>
          <w:szCs w:val="24"/>
          <w:highlight w:val="none"/>
          <w:lang w:val="en-US" w:eastAsia="zh-CN"/>
        </w:rPr>
        <w:t>1、山东省环境保护产业协会制定相应的实施意见，如对该团体</w:t>
      </w:r>
      <w:r>
        <w:rPr>
          <w:rFonts w:hint="eastAsia" w:ascii="Times New Roman" w:hAnsi="Times New Roman" w:cs="Times New Roman"/>
          <w:color w:val="000000"/>
          <w:spacing w:val="10"/>
          <w:sz w:val="24"/>
          <w:szCs w:val="24"/>
          <w:highlight w:val="none"/>
          <w:lang w:val="en-US" w:eastAsia="zh-CN"/>
        </w:rPr>
        <w:t>标准</w:t>
      </w:r>
      <w:r>
        <w:rPr>
          <w:rFonts w:hint="default" w:ascii="Times New Roman" w:hAnsi="Times New Roman" w:cs="Times New Roman"/>
          <w:color w:val="000000"/>
          <w:spacing w:val="10"/>
          <w:sz w:val="24"/>
          <w:szCs w:val="24"/>
          <w:highlight w:val="none"/>
          <w:lang w:val="en-US" w:eastAsia="zh-CN"/>
        </w:rPr>
        <w:t>的宣传贯彻制定切实可行的措施，做好宣传培训，示范推广等工作。</w:t>
      </w:r>
    </w:p>
    <w:p>
      <w:pPr>
        <w:numPr>
          <w:ilvl w:val="0"/>
          <w:numId w:val="0"/>
        </w:numPr>
        <w:spacing w:line="360" w:lineRule="auto"/>
        <w:ind w:leftChars="0" w:firstLine="560"/>
        <w:rPr>
          <w:rFonts w:hint="default" w:ascii="Times New Roman" w:hAnsi="Times New Roman" w:cs="Times New Roman"/>
          <w:color w:val="000000"/>
          <w:spacing w:val="10"/>
          <w:sz w:val="24"/>
          <w:szCs w:val="24"/>
          <w:highlight w:val="none"/>
          <w:lang w:val="en-US" w:eastAsia="zh-CN"/>
        </w:rPr>
      </w:pPr>
      <w:r>
        <w:rPr>
          <w:rFonts w:hint="default" w:ascii="Times New Roman" w:hAnsi="Times New Roman" w:cs="Times New Roman"/>
          <w:color w:val="000000"/>
          <w:spacing w:val="10"/>
          <w:sz w:val="24"/>
          <w:szCs w:val="24"/>
          <w:highlight w:val="none"/>
          <w:lang w:val="en-US" w:eastAsia="zh-CN"/>
        </w:rPr>
        <w:t>2、山东省环境保护产业协会定期对本标准实施情况进行调查，掌握动态，并对实施效果进行跟踪评估，及时解决设施中的问题，不断修改完善，提升标准水平，提高标准的科学性、合理性、协调性和可操作性。</w:t>
      </w:r>
      <w:bookmarkStart w:id="0" w:name="_GoBack"/>
      <w:bookmarkEnd w:id="0"/>
    </w:p>
    <w:p>
      <w:pPr>
        <w:numPr>
          <w:ilvl w:val="0"/>
          <w:numId w:val="0"/>
        </w:numPr>
        <w:spacing w:line="360" w:lineRule="auto"/>
        <w:ind w:left="560" w:leftChars="0"/>
        <w:rPr>
          <w:rFonts w:hint="default" w:ascii="Times New Roman" w:hAnsi="Times New Roman" w:cs="Times New Roman"/>
          <w:color w:val="000000"/>
          <w:spacing w:val="10"/>
          <w:sz w:val="24"/>
          <w:szCs w:val="24"/>
          <w:highlight w:val="none"/>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4C9DE75"/>
    <w:multiLevelType w:val="singleLevel"/>
    <w:tmpl w:val="84C9DE75"/>
    <w:lvl w:ilvl="0" w:tentative="0">
      <w:start w:val="1"/>
      <w:numFmt w:val="decimal"/>
      <w:suff w:val="nothing"/>
      <w:lvlText w:val="%1、"/>
      <w:lvlJc w:val="left"/>
    </w:lvl>
  </w:abstractNum>
  <w:abstractNum w:abstractNumId="1">
    <w:nsid w:val="9B953216"/>
    <w:multiLevelType w:val="singleLevel"/>
    <w:tmpl w:val="9B953216"/>
    <w:lvl w:ilvl="0" w:tentative="0">
      <w:start w:val="1"/>
      <w:numFmt w:val="chineseCounting"/>
      <w:suff w:val="nothing"/>
      <w:lvlText w:val="%1、"/>
      <w:lvlJc w:val="left"/>
      <w:rPr>
        <w:rFonts w:hint="eastAsia"/>
      </w:rPr>
    </w:lvl>
  </w:abstractNum>
  <w:abstractNum w:abstractNumId="2">
    <w:nsid w:val="FF3655F5"/>
    <w:multiLevelType w:val="singleLevel"/>
    <w:tmpl w:val="FF3655F5"/>
    <w:lvl w:ilvl="0" w:tentative="0">
      <w:start w:val="1"/>
      <w:numFmt w:val="decimal"/>
      <w:suff w:val="nothing"/>
      <w:lvlText w:val="（%1）"/>
      <w:lvlJc w:val="left"/>
    </w:lvl>
  </w:abstractNum>
  <w:abstractNum w:abstractNumId="3">
    <w:nsid w:val="3115FD93"/>
    <w:multiLevelType w:val="singleLevel"/>
    <w:tmpl w:val="3115FD93"/>
    <w:lvl w:ilvl="0" w:tentative="0">
      <w:start w:val="1"/>
      <w:numFmt w:val="chineseCounting"/>
      <w:suff w:val="nothing"/>
      <w:lvlText w:val="（%1）"/>
      <w:lvlJc w:val="left"/>
      <w:rPr>
        <w:rFonts w:hint="eastAsia"/>
      </w:rPr>
    </w:lvl>
  </w:abstractNum>
  <w:abstractNum w:abstractNumId="4">
    <w:nsid w:val="60C683AD"/>
    <w:multiLevelType w:val="singleLevel"/>
    <w:tmpl w:val="60C683AD"/>
    <w:lvl w:ilvl="0" w:tentative="0">
      <w:start w:val="1"/>
      <w:numFmt w:val="decimal"/>
      <w:suff w:val="nothing"/>
      <w:lvlText w:val="%1、"/>
      <w:lvlJc w:val="left"/>
      <w:pPr>
        <w:ind w:left="560" w:leftChars="0" w:firstLine="0" w:firstLineChars="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E43D56"/>
    <w:rsid w:val="13102204"/>
    <w:rsid w:val="179355DF"/>
    <w:rsid w:val="1CD74842"/>
    <w:rsid w:val="28AB3D1E"/>
    <w:rsid w:val="3B101EFA"/>
    <w:rsid w:val="41B90C84"/>
    <w:rsid w:val="45342606"/>
    <w:rsid w:val="45666C55"/>
    <w:rsid w:val="47D65121"/>
    <w:rsid w:val="5E283149"/>
    <w:rsid w:val="5F831EDF"/>
    <w:rsid w:val="61EA3381"/>
    <w:rsid w:val="641D0072"/>
    <w:rsid w:val="67577CBB"/>
    <w:rsid w:val="6EDD495D"/>
    <w:rsid w:val="7BF22AEB"/>
    <w:rsid w:val="7E5003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段"/>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相惜</cp:lastModifiedBy>
  <dcterms:modified xsi:type="dcterms:W3CDTF">2021-06-16T01:30:38Z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20FE4D6E5AF14BD9978392B3DABA16B8</vt:lpwstr>
  </property>
</Properties>
</file>